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7EA09" w14:textId="7530E90B" w:rsidR="00A7506B" w:rsidRPr="009739BF" w:rsidRDefault="00403B63" w:rsidP="00A7506B">
      <w:pPr>
        <w:spacing w:before="240" w:after="120"/>
        <w:jc w:val="both"/>
        <w:rPr>
          <w:b/>
          <w:bCs/>
          <w:iCs/>
          <w:lang w:val="et-EE"/>
        </w:rPr>
      </w:pPr>
      <w:bookmarkStart w:id="0" w:name="_Hlk128998371"/>
      <w:r w:rsidRPr="009739BF">
        <w:rPr>
          <w:b/>
          <w:bCs/>
          <w:lang w:val="et-EE"/>
        </w:rPr>
        <w:t xml:space="preserve">Määruse (EL) 2019/2088 </w:t>
      </w:r>
      <w:bookmarkEnd w:id="0"/>
      <w:r w:rsidRPr="009739BF">
        <w:rPr>
          <w:b/>
          <w:bCs/>
          <w:lang w:val="et-EE"/>
        </w:rPr>
        <w:t>artikli 4 kohane teave jätkusuutlikkuse</w:t>
      </w:r>
      <w:r w:rsidRPr="009739BF">
        <w:rPr>
          <w:rFonts w:ascii="Cambria Math" w:hAnsi="Cambria Math"/>
          <w:b/>
          <w:bCs/>
          <w:lang w:val="et-EE"/>
        </w:rPr>
        <w:t xml:space="preserve"> </w:t>
      </w:r>
      <w:r w:rsidRPr="009739BF">
        <w:rPr>
          <w:b/>
          <w:bCs/>
          <w:lang w:val="et-EE"/>
        </w:rPr>
        <w:t>kohta finantsteenuste sektoris.</w:t>
      </w:r>
    </w:p>
    <w:p w14:paraId="72A995B1" w14:textId="70694666" w:rsidR="00011C46" w:rsidRPr="009739BF" w:rsidRDefault="00011C46" w:rsidP="00A7506B">
      <w:pPr>
        <w:spacing w:before="240" w:after="120"/>
        <w:jc w:val="both"/>
        <w:rPr>
          <w:rFonts w:ascii="FS Me" w:hAnsi="FS Me" w:cstheme="majorHAnsi"/>
          <w:b/>
          <w:bCs/>
          <w:iCs/>
          <w:sz w:val="26"/>
          <w:szCs w:val="26"/>
          <w:lang w:val="et-EE"/>
        </w:rPr>
      </w:pPr>
      <w:r w:rsidRPr="009739BF">
        <w:rPr>
          <w:rFonts w:ascii="FS Me" w:hAnsi="FS Me" w:cstheme="majorHAnsi"/>
          <w:b/>
          <w:bCs/>
          <w:sz w:val="26"/>
          <w:szCs w:val="26"/>
          <w:lang w:val="et-EE"/>
        </w:rPr>
        <w:t>Avaldus investeerimisotsuste põhilise negatiivse mõju kohta jätkusuutlikkusteguritele</w:t>
      </w:r>
    </w:p>
    <w:p w14:paraId="3AA3BBC1" w14:textId="67598A47" w:rsidR="00011C46" w:rsidRPr="009739BF" w:rsidRDefault="006827C1" w:rsidP="00D2169B">
      <w:pPr>
        <w:spacing w:after="120"/>
        <w:jc w:val="both"/>
        <w:rPr>
          <w:rFonts w:ascii="FS Me" w:hAnsi="FS Me" w:cstheme="majorHAnsi"/>
          <w:b/>
          <w:bCs/>
          <w:iCs/>
          <w:sz w:val="28"/>
          <w:szCs w:val="28"/>
          <w:lang w:val="et-EE"/>
        </w:rPr>
      </w:pPr>
      <w:r w:rsidRPr="009739BF">
        <w:rPr>
          <w:rFonts w:cstheme="minorHAnsi"/>
          <w:sz w:val="20"/>
          <w:szCs w:val="20"/>
          <w:lang w:val="et-EE"/>
        </w:rPr>
        <w:t>30.06.2024</w:t>
      </w:r>
    </w:p>
    <w:p w14:paraId="7FC5935F" w14:textId="77777777" w:rsidR="006827C1" w:rsidRPr="009739BF" w:rsidRDefault="006827C1" w:rsidP="00D2169B">
      <w:pPr>
        <w:spacing w:after="120"/>
        <w:jc w:val="both"/>
        <w:rPr>
          <w:rFonts w:ascii="FS Me" w:hAnsi="FS Me" w:cstheme="majorHAnsi"/>
          <w:b/>
          <w:bCs/>
          <w:iCs/>
          <w:sz w:val="28"/>
          <w:szCs w:val="28"/>
          <w:lang w:val="et-EE"/>
        </w:rPr>
      </w:pPr>
    </w:p>
    <w:p w14:paraId="70ACE56C" w14:textId="74D5E1CC" w:rsidR="0058316F" w:rsidRPr="009739BF" w:rsidRDefault="00011C46" w:rsidP="00D2169B">
      <w:pPr>
        <w:spacing w:after="120"/>
        <w:jc w:val="both"/>
        <w:rPr>
          <w:rFonts w:cstheme="minorHAnsi"/>
          <w:b/>
          <w:sz w:val="20"/>
          <w:szCs w:val="20"/>
          <w:lang w:val="et-EE"/>
        </w:rPr>
      </w:pPr>
      <w:r w:rsidRPr="009739BF">
        <w:rPr>
          <w:rFonts w:cstheme="minorHAnsi"/>
          <w:b/>
          <w:bCs/>
          <w:sz w:val="20"/>
          <w:szCs w:val="20"/>
          <w:lang w:val="et-EE"/>
        </w:rPr>
        <w:t>Finantsturu osaline:</w:t>
      </w:r>
      <w:r w:rsidRPr="009739BF">
        <w:rPr>
          <w:rFonts w:cstheme="minorHAnsi"/>
          <w:sz w:val="20"/>
          <w:szCs w:val="20"/>
          <w:lang w:val="et-EE"/>
        </w:rPr>
        <w:t xml:space="preserve"> ERGO Life Insurance SE (LEI 5493001IOWSPIYMXRA82)</w:t>
      </w:r>
    </w:p>
    <w:p w14:paraId="00BCBFC2" w14:textId="4C44499E" w:rsidR="00293ABA" w:rsidRPr="009739BF" w:rsidRDefault="006827C1" w:rsidP="00D2169B">
      <w:pPr>
        <w:spacing w:after="120"/>
        <w:jc w:val="both"/>
        <w:rPr>
          <w:rFonts w:cstheme="minorHAnsi"/>
          <w:sz w:val="20"/>
          <w:szCs w:val="20"/>
          <w:lang w:val="et-EE"/>
        </w:rPr>
      </w:pPr>
      <w:r w:rsidRPr="009739BF">
        <w:rPr>
          <w:rFonts w:cstheme="minorHAnsi"/>
          <w:sz w:val="20"/>
          <w:szCs w:val="20"/>
          <w:lang w:val="et-EE"/>
        </w:rPr>
        <w:t>ERGO Life Insurance SE (edaspidi: ERGO) on Munich Re kontserni kuuluva ERGO kontserni äriühing. Kontsern on üks maailma juhtivaid edasikindlustuse, esmase kindlustuse ja kindlustusega seotud riskilahenduste pakkujaid.</w:t>
      </w:r>
    </w:p>
    <w:p w14:paraId="1B32A5EB" w14:textId="77777777" w:rsidR="00293ABA" w:rsidRPr="009739BF" w:rsidRDefault="00293ABA" w:rsidP="00D2169B">
      <w:pPr>
        <w:spacing w:after="120"/>
        <w:jc w:val="both"/>
        <w:rPr>
          <w:rFonts w:cstheme="minorHAnsi"/>
          <w:sz w:val="20"/>
          <w:szCs w:val="20"/>
          <w:lang w:val="et-EE"/>
        </w:rPr>
      </w:pPr>
    </w:p>
    <w:p w14:paraId="7872C9A7" w14:textId="64152B7F" w:rsidR="000A1E9F" w:rsidRPr="009739BF" w:rsidRDefault="00AC3BAE" w:rsidP="00D2169B">
      <w:pPr>
        <w:spacing w:after="120"/>
        <w:jc w:val="both"/>
        <w:rPr>
          <w:rFonts w:cstheme="minorHAnsi"/>
          <w:b/>
          <w:sz w:val="20"/>
          <w:szCs w:val="20"/>
          <w:lang w:val="et-EE"/>
        </w:rPr>
      </w:pPr>
      <w:r w:rsidRPr="009739BF">
        <w:rPr>
          <w:rFonts w:cstheme="minorHAnsi"/>
          <w:b/>
          <w:bCs/>
          <w:sz w:val="20"/>
          <w:szCs w:val="20"/>
          <w:lang w:val="et-EE"/>
        </w:rPr>
        <w:t>Kokkuvõte</w:t>
      </w:r>
    </w:p>
    <w:p w14:paraId="678D6C1E" w14:textId="12EEBF12" w:rsidR="00C0297D" w:rsidRPr="009739BF" w:rsidRDefault="00C0297D" w:rsidP="00C0297D">
      <w:pPr>
        <w:spacing w:after="120"/>
        <w:jc w:val="both"/>
        <w:rPr>
          <w:rFonts w:cstheme="minorHAnsi"/>
          <w:sz w:val="20"/>
          <w:szCs w:val="20"/>
          <w:lang w:val="et-EE"/>
        </w:rPr>
      </w:pPr>
      <w:r w:rsidRPr="009739BF">
        <w:rPr>
          <w:rFonts w:cstheme="minorHAnsi"/>
          <w:sz w:val="20"/>
          <w:szCs w:val="20"/>
          <w:lang w:val="et-EE"/>
        </w:rPr>
        <w:t>Siinne avaldus põhilise negatiivse mõju kohta hõlmab ajavahemikku 1. jaanuarist kuni 31. detsembrini 2023.</w:t>
      </w:r>
    </w:p>
    <w:p w14:paraId="1EBA266E" w14:textId="72C90BA3" w:rsidR="00136C06" w:rsidRPr="009739BF" w:rsidRDefault="006827C1" w:rsidP="00136C06">
      <w:pPr>
        <w:spacing w:after="120"/>
        <w:jc w:val="both"/>
        <w:rPr>
          <w:rFonts w:cstheme="minorHAnsi"/>
          <w:sz w:val="20"/>
          <w:szCs w:val="20"/>
          <w:lang w:val="et-EE"/>
        </w:rPr>
      </w:pPr>
      <w:r w:rsidRPr="009739BF">
        <w:rPr>
          <w:rFonts w:cstheme="minorHAnsi"/>
          <w:sz w:val="20"/>
          <w:szCs w:val="20"/>
          <w:lang w:val="et-EE"/>
        </w:rPr>
        <w:t>ERGO võtab investeerimisotsuste tegemisel arvesse põhilist negatiivset mõju jätkusuutlikkusteguritele.</w:t>
      </w:r>
    </w:p>
    <w:p w14:paraId="1BE8DF58" w14:textId="4A1DBE5C" w:rsidR="00136C06" w:rsidRPr="009739BF" w:rsidRDefault="00136C06">
      <w:pPr>
        <w:spacing w:after="120"/>
        <w:jc w:val="both"/>
        <w:rPr>
          <w:rFonts w:cstheme="minorHAnsi"/>
          <w:sz w:val="20"/>
          <w:szCs w:val="20"/>
          <w:lang w:val="et-EE"/>
        </w:rPr>
      </w:pPr>
      <w:r w:rsidRPr="009739BF">
        <w:rPr>
          <w:rFonts w:cstheme="minorHAnsi"/>
          <w:sz w:val="20"/>
          <w:szCs w:val="20"/>
          <w:lang w:val="et-EE"/>
        </w:rPr>
        <w:t xml:space="preserve">Investeerimisotsused võivad põhjustada või soodustada – märkimisväärset või tõenäoliselt märkimisväärset – negatiivset mõju jätkusuutlikkusteguritele (negatiivne mõju jätkusuutlikkusele) või olla sellega otseselt seotud. Jätkusuutlikkustegurid hõlmavad muu hulgas keskkonnaga, sotsiaalseid ja töötajatega seotud küsimusi, inimõiguste austamist ning korruptsiooni ja altkäemaksu tõkestamist. Jätkusuutlikkustegureid nimetatakse ka ESG kriteeriumideks. Ingliskeelne lühend ESG tähistab keskkonnaga (E, </w:t>
      </w:r>
      <w:proofErr w:type="spellStart"/>
      <w:r w:rsidRPr="009739BF">
        <w:rPr>
          <w:rFonts w:cstheme="minorHAnsi"/>
          <w:i/>
          <w:iCs/>
          <w:sz w:val="20"/>
          <w:szCs w:val="20"/>
          <w:lang w:val="et-EE"/>
        </w:rPr>
        <w:t>environmental</w:t>
      </w:r>
      <w:proofErr w:type="spellEnd"/>
      <w:r w:rsidRPr="009739BF">
        <w:rPr>
          <w:rFonts w:cstheme="minorHAnsi"/>
          <w:sz w:val="20"/>
          <w:szCs w:val="20"/>
          <w:lang w:val="et-EE"/>
        </w:rPr>
        <w:t xml:space="preserve">), sotsiaalseid (S, </w:t>
      </w:r>
      <w:proofErr w:type="spellStart"/>
      <w:r w:rsidRPr="009739BF">
        <w:rPr>
          <w:rFonts w:cstheme="minorHAnsi"/>
          <w:i/>
          <w:iCs/>
          <w:sz w:val="20"/>
          <w:szCs w:val="20"/>
          <w:lang w:val="et-EE"/>
        </w:rPr>
        <w:t>social</w:t>
      </w:r>
      <w:proofErr w:type="spellEnd"/>
      <w:r w:rsidRPr="009739BF">
        <w:rPr>
          <w:rFonts w:cstheme="minorHAnsi"/>
          <w:sz w:val="20"/>
          <w:szCs w:val="20"/>
          <w:lang w:val="et-EE"/>
        </w:rPr>
        <w:t xml:space="preserve">) ja äriühingu üldjuhtimisega (G, </w:t>
      </w:r>
      <w:proofErr w:type="spellStart"/>
      <w:r w:rsidRPr="009739BF">
        <w:rPr>
          <w:rFonts w:cstheme="minorHAnsi"/>
          <w:i/>
          <w:iCs/>
          <w:sz w:val="20"/>
          <w:szCs w:val="20"/>
          <w:lang w:val="et-EE"/>
        </w:rPr>
        <w:t>governance</w:t>
      </w:r>
      <w:proofErr w:type="spellEnd"/>
      <w:r w:rsidRPr="009739BF">
        <w:rPr>
          <w:rFonts w:cstheme="minorHAnsi"/>
          <w:sz w:val="20"/>
          <w:szCs w:val="20"/>
          <w:lang w:val="et-EE"/>
        </w:rPr>
        <w:t>) seotud kriteeriume.</w:t>
      </w:r>
    </w:p>
    <w:p w14:paraId="15CE62A8" w14:textId="11BEBD8E" w:rsidR="00136C06" w:rsidRPr="009739BF" w:rsidRDefault="00136C06" w:rsidP="00136C06">
      <w:pPr>
        <w:spacing w:after="120"/>
        <w:jc w:val="both"/>
        <w:rPr>
          <w:rFonts w:cstheme="minorHAnsi"/>
          <w:sz w:val="20"/>
          <w:szCs w:val="20"/>
          <w:lang w:val="et-EE"/>
        </w:rPr>
      </w:pPr>
      <w:r w:rsidRPr="009739BF">
        <w:rPr>
          <w:rFonts w:cstheme="minorHAnsi"/>
          <w:sz w:val="20"/>
          <w:szCs w:val="20"/>
          <w:lang w:val="et-EE"/>
        </w:rPr>
        <w:t>Jätkusuutlikkusaspektide arvestamine on meie jaoks väga tähtis tegur. Me läheneme jätkusuutlikkusele terviklikult ning oleme selle põhiselt lõiminud tähtsad keskkonna-, sotsiaal- ja juhtimisaspektid investeerimisotsuste tegemisse. See aitab meil tuvastada keskkonna-, sotsiaal- ja juhtimisaspektidega seotud riske ning võimalusi, mis lähevad kaugemale tavapärasest finantsanalüüsist, ja teha pikas perspektiivis vastutustundlikke investeerimisotsuseid. Meie jätkusuutlik lähenemisviis põhineb Munich Re osalusel valminud vastutustundliku investeerimise põhimõtetel.</w:t>
      </w:r>
    </w:p>
    <w:p w14:paraId="131F06CC" w14:textId="6DFA16BC" w:rsidR="00136C06" w:rsidRPr="009739BF" w:rsidRDefault="00136C06" w:rsidP="00136C06">
      <w:pPr>
        <w:spacing w:after="120"/>
        <w:jc w:val="both"/>
        <w:rPr>
          <w:rFonts w:cstheme="minorHAnsi"/>
          <w:sz w:val="20"/>
          <w:szCs w:val="20"/>
          <w:lang w:val="et-EE"/>
        </w:rPr>
      </w:pPr>
      <w:r w:rsidRPr="009739BF">
        <w:rPr>
          <w:rFonts w:cstheme="minorHAnsi"/>
          <w:sz w:val="20"/>
          <w:szCs w:val="20"/>
          <w:lang w:val="et-EE"/>
        </w:rPr>
        <w:t>Investeeringute tegemisel lähtutakse kolmest printsiibist: määratletud välistamiskriteeriumid, peamised investeerimisvaldkonnad, nagu taastuvenergia või rohelised võlakirjad, ning ESG kriteeriumide süsteemne lõimimine investeerimisprotsessi.</w:t>
      </w:r>
    </w:p>
    <w:p w14:paraId="5BD0DB66" w14:textId="25D052DE" w:rsidR="00136C06" w:rsidRPr="009739BF" w:rsidRDefault="00136C06" w:rsidP="00136C06">
      <w:pPr>
        <w:spacing w:after="120"/>
        <w:jc w:val="both"/>
        <w:rPr>
          <w:rFonts w:cstheme="minorHAnsi"/>
          <w:sz w:val="20"/>
          <w:szCs w:val="20"/>
          <w:lang w:val="et-EE"/>
        </w:rPr>
      </w:pPr>
      <w:r w:rsidRPr="009739BF">
        <w:rPr>
          <w:rFonts w:cstheme="minorHAnsi"/>
          <w:sz w:val="20"/>
          <w:szCs w:val="20"/>
          <w:lang w:val="et-EE"/>
        </w:rPr>
        <w:t>Oma püüdluste rõhutamiseks liitus Munich Re 2020. aastal algatusega „Net-</w:t>
      </w:r>
      <w:proofErr w:type="spellStart"/>
      <w:r w:rsidRPr="009739BF">
        <w:rPr>
          <w:rFonts w:cstheme="minorHAnsi"/>
          <w:sz w:val="20"/>
          <w:szCs w:val="20"/>
          <w:lang w:val="et-EE"/>
        </w:rPr>
        <w:t>Zero</w:t>
      </w:r>
      <w:proofErr w:type="spellEnd"/>
      <w:r w:rsidRPr="009739BF">
        <w:rPr>
          <w:rFonts w:cstheme="minorHAnsi"/>
          <w:sz w:val="20"/>
          <w:szCs w:val="20"/>
          <w:lang w:val="et-EE"/>
        </w:rPr>
        <w:t xml:space="preserve"> Asset </w:t>
      </w:r>
      <w:proofErr w:type="spellStart"/>
      <w:r w:rsidRPr="009739BF">
        <w:rPr>
          <w:rFonts w:cstheme="minorHAnsi"/>
          <w:sz w:val="20"/>
          <w:szCs w:val="20"/>
          <w:lang w:val="et-EE"/>
        </w:rPr>
        <w:t>Owner</w:t>
      </w:r>
      <w:proofErr w:type="spellEnd"/>
      <w:r w:rsidRPr="009739BF">
        <w:rPr>
          <w:rFonts w:cstheme="minorHAnsi"/>
          <w:sz w:val="20"/>
          <w:szCs w:val="20"/>
          <w:lang w:val="et-EE"/>
        </w:rPr>
        <w:t xml:space="preserve"> Alliance“ ja püüab vähendada 2050. aastaks oma varade portfelli CO₂ heitkoguseid. Selle </w:t>
      </w:r>
      <w:proofErr w:type="spellStart"/>
      <w:r w:rsidRPr="009739BF">
        <w:rPr>
          <w:rFonts w:cstheme="minorHAnsi"/>
          <w:sz w:val="20"/>
          <w:szCs w:val="20"/>
          <w:lang w:val="et-EE"/>
        </w:rPr>
        <w:t>liikmesuse</w:t>
      </w:r>
      <w:proofErr w:type="spellEnd"/>
      <w:r w:rsidRPr="009739BF">
        <w:rPr>
          <w:rFonts w:cstheme="minorHAnsi"/>
          <w:sz w:val="20"/>
          <w:szCs w:val="20"/>
          <w:lang w:val="et-EE"/>
        </w:rPr>
        <w:t xml:space="preserve"> raames on kontsern lubanud loobuda 2040. aastaks küttesöe kasutamisest. Ühe sammuna selles suunas on Munich Re kontsern võtnud vastu investeeringute kliimastrateegia „</w:t>
      </w:r>
      <w:proofErr w:type="spellStart"/>
      <w:r w:rsidRPr="009739BF">
        <w:rPr>
          <w:rFonts w:cstheme="minorHAnsi"/>
          <w:sz w:val="20"/>
          <w:szCs w:val="20"/>
          <w:lang w:val="et-EE"/>
        </w:rPr>
        <w:t>Ambition</w:t>
      </w:r>
      <w:proofErr w:type="spellEnd"/>
      <w:r w:rsidRPr="009739BF">
        <w:rPr>
          <w:rFonts w:cstheme="minorHAnsi"/>
          <w:sz w:val="20"/>
          <w:szCs w:val="20"/>
          <w:lang w:val="et-EE"/>
        </w:rPr>
        <w:t xml:space="preserve"> 2025“, milles on sätestatud selged eesmärgid kliimakaitsesse panustamiseks. Need eesmärgid seatakse kontserni tasandil ja ERGO aitab nende saavutamisele kaasa nii palju kui võimalik.</w:t>
      </w:r>
    </w:p>
    <w:p w14:paraId="1224429A" w14:textId="77777777" w:rsidR="005D4282" w:rsidRPr="009739BF" w:rsidRDefault="005D4282" w:rsidP="00E15A5E">
      <w:pPr>
        <w:spacing w:after="120"/>
        <w:jc w:val="both"/>
        <w:rPr>
          <w:rFonts w:cstheme="minorHAnsi"/>
          <w:sz w:val="20"/>
          <w:szCs w:val="20"/>
          <w:lang w:val="et-EE"/>
        </w:rPr>
      </w:pPr>
      <w:r w:rsidRPr="009739BF">
        <w:rPr>
          <w:rFonts w:cstheme="minorHAnsi"/>
          <w:sz w:val="20"/>
          <w:szCs w:val="20"/>
          <w:lang w:val="et-EE"/>
        </w:rPr>
        <w:t>Me karmistame järk-järgult oma välistamiskriteeriume söe-, nafta- ja gaasiinvesteeringute puhul, samuti investeeringute puhul riikidesse ning ettevõtetesse, kus esineb tõsiseid rikkumisi töötingimuste, võrdõiguslikkuse ja diskrimineerimise ning elutingimuste valdkonnas (vähemuste kaitse, õigus puhtale ja tervislikule keskkonnale).</w:t>
      </w:r>
    </w:p>
    <w:p w14:paraId="07FF92F6" w14:textId="5D7AA5DC" w:rsidR="00136C06" w:rsidRPr="009739BF" w:rsidRDefault="006827C1" w:rsidP="00E15A5E">
      <w:pPr>
        <w:spacing w:after="120"/>
        <w:jc w:val="both"/>
        <w:rPr>
          <w:rFonts w:cstheme="minorHAnsi"/>
          <w:sz w:val="20"/>
          <w:szCs w:val="20"/>
          <w:lang w:val="et-EE"/>
        </w:rPr>
      </w:pPr>
      <w:r w:rsidRPr="009739BF">
        <w:rPr>
          <w:rFonts w:cstheme="minorHAnsi"/>
          <w:sz w:val="20"/>
          <w:szCs w:val="20"/>
          <w:lang w:val="et-EE"/>
        </w:rPr>
        <w:t>ERGO on juba lõpetanud investeerimise äriühingutesse, mis teenivad üle 30% oma tulust küttesöest. Äriühingud, kes teenivad 15–30% oma tulust küttesöest, jäetakse investeeringute tegemisel kõrvale või kaasatakse valikuliselt asjaomase juhtkonnaga peetava dialoogi kaudu. Meie kontsernisisene varahaldur MEAG kaasab äriühinguid kas kollektiivselt (nt algatuse „</w:t>
      </w:r>
      <w:proofErr w:type="spellStart"/>
      <w:r w:rsidRPr="009739BF">
        <w:rPr>
          <w:rFonts w:cstheme="minorHAnsi"/>
          <w:sz w:val="20"/>
          <w:szCs w:val="20"/>
          <w:lang w:val="et-EE"/>
        </w:rPr>
        <w:t>Climate</w:t>
      </w:r>
      <w:proofErr w:type="spellEnd"/>
      <w:r w:rsidRPr="009739BF">
        <w:rPr>
          <w:rFonts w:cstheme="minorHAnsi"/>
          <w:sz w:val="20"/>
          <w:szCs w:val="20"/>
          <w:lang w:val="et-EE"/>
        </w:rPr>
        <w:t xml:space="preserve"> </w:t>
      </w:r>
      <w:proofErr w:type="spellStart"/>
      <w:r w:rsidRPr="009739BF">
        <w:rPr>
          <w:rFonts w:cstheme="minorHAnsi"/>
          <w:sz w:val="20"/>
          <w:szCs w:val="20"/>
          <w:lang w:val="et-EE"/>
        </w:rPr>
        <w:t>Action</w:t>
      </w:r>
      <w:proofErr w:type="spellEnd"/>
      <w:r w:rsidRPr="009739BF">
        <w:rPr>
          <w:rFonts w:cstheme="minorHAnsi"/>
          <w:sz w:val="20"/>
          <w:szCs w:val="20"/>
          <w:lang w:val="et-EE"/>
        </w:rPr>
        <w:t xml:space="preserve"> 100+“ raames) või individuaalselt.</w:t>
      </w:r>
    </w:p>
    <w:p w14:paraId="1DC7C2E2" w14:textId="4539C861" w:rsidR="00136C06" w:rsidRPr="009739BF" w:rsidRDefault="00136C06" w:rsidP="00E15A5E">
      <w:pPr>
        <w:spacing w:after="120"/>
        <w:jc w:val="both"/>
        <w:rPr>
          <w:rFonts w:cstheme="minorHAnsi"/>
          <w:sz w:val="20"/>
          <w:szCs w:val="20"/>
          <w:lang w:val="et-EE"/>
        </w:rPr>
      </w:pPr>
      <w:r w:rsidRPr="009739BF">
        <w:rPr>
          <w:rFonts w:cstheme="minorHAnsi"/>
          <w:sz w:val="20"/>
          <w:szCs w:val="20"/>
          <w:lang w:val="et-EE"/>
        </w:rPr>
        <w:t>Tegelike või potentsiaalsete investeeringute puhul kontrollitakse negatiivset mõju nendele keskkonnateguritele. Investeeringud sellistesse äriühingutesse, kes teenivad rohkem kui 10% oma tulust õliliiva kaevandamisest, on keelatud. Me arvestame ka sotsiaalsete standardite, töötingimuste ja inimõiguste järgimist ning korruptsiooni ja altkäemaksu tõkestamist. Me välistame investeeringud keelatud relvi (kassettlahingumoon ja jalaväemiinid) toot</w:t>
      </w:r>
      <w:r w:rsidRPr="009739BF">
        <w:rPr>
          <w:rFonts w:cstheme="minorHAnsi"/>
          <w:sz w:val="20"/>
          <w:szCs w:val="20"/>
          <w:lang w:val="et-EE"/>
        </w:rPr>
        <w:lastRenderedPageBreak/>
        <w:t>vatesse äriühingutesse. Samuti välistatakse investeeringud toidukaupadesse (nt teravili ja õliseemned, kariloomad, piimatooted). Lubatud ei ole investeerida MSCI CCC reitinguga (ESG reitingute skaalal AAA–CCC) riikide riigivõlakirjadesse ja valitsusega seotud asutuste võlakirjadesse.</w:t>
      </w:r>
    </w:p>
    <w:p w14:paraId="3AC80F9C" w14:textId="280BA831" w:rsidR="00DE1FAB" w:rsidRPr="009739BF" w:rsidRDefault="00DE1FAB" w:rsidP="00E15A5E">
      <w:pPr>
        <w:spacing w:after="120"/>
        <w:jc w:val="both"/>
        <w:rPr>
          <w:rFonts w:cstheme="minorHAnsi"/>
          <w:sz w:val="20"/>
          <w:szCs w:val="20"/>
          <w:lang w:val="et-EE"/>
        </w:rPr>
      </w:pPr>
    </w:p>
    <w:p w14:paraId="4BA23517" w14:textId="51AD0950" w:rsidR="00DE1FAB" w:rsidRPr="009739BF" w:rsidRDefault="00DE1FAB" w:rsidP="00DE1FAB">
      <w:pPr>
        <w:spacing w:after="120"/>
        <w:rPr>
          <w:rFonts w:cstheme="minorHAnsi"/>
          <w:sz w:val="20"/>
          <w:szCs w:val="20"/>
          <w:lang w:val="et-EE"/>
        </w:rPr>
      </w:pPr>
      <w:bookmarkStart w:id="1" w:name="_Hlk166001035"/>
      <w:r w:rsidRPr="009739BF">
        <w:rPr>
          <w:rFonts w:cstheme="minorHAnsi"/>
          <w:sz w:val="20"/>
          <w:szCs w:val="20"/>
          <w:lang w:val="et-EE"/>
        </w:rPr>
        <w:t xml:space="preserve">Metoodilised selgitused </w:t>
      </w:r>
      <w:bookmarkEnd w:id="1"/>
      <w:r w:rsidRPr="009739BF">
        <w:rPr>
          <w:rFonts w:cstheme="minorHAnsi"/>
          <w:sz w:val="20"/>
          <w:szCs w:val="20"/>
          <w:lang w:val="et-EE"/>
        </w:rPr>
        <w:t>PAI arvutamise kohta 2023. aastal</w:t>
      </w:r>
    </w:p>
    <w:p w14:paraId="28DB8E05" w14:textId="4447408E" w:rsidR="00DE1FAB" w:rsidRPr="009739BF" w:rsidRDefault="00DE1FAB" w:rsidP="00E73537">
      <w:pPr>
        <w:pStyle w:val="ListParagraph"/>
        <w:numPr>
          <w:ilvl w:val="0"/>
          <w:numId w:val="20"/>
        </w:numPr>
        <w:spacing w:after="120"/>
        <w:rPr>
          <w:rFonts w:cstheme="minorHAnsi"/>
          <w:sz w:val="20"/>
          <w:szCs w:val="20"/>
          <w:lang w:val="et-EE"/>
        </w:rPr>
      </w:pPr>
      <w:r w:rsidRPr="009739BF">
        <w:rPr>
          <w:rFonts w:cstheme="minorHAnsi"/>
          <w:sz w:val="20"/>
          <w:szCs w:val="20"/>
          <w:lang w:val="et-EE"/>
        </w:rPr>
        <w:t>PAI varade klassifikatsiooni riigivõlakirjad: valitsusega seotud ettevõtted või riigi omandis olevad ettevõtted ei kuulu 2023. aastal enam riigivõlakirjade kategooriasse, vaid need liigitatakse ettevõtete võlakirjade kategooriasse.</w:t>
      </w:r>
    </w:p>
    <w:p w14:paraId="7C846E02" w14:textId="54C91AD0" w:rsidR="004B0F7F" w:rsidRPr="009739BF" w:rsidRDefault="004B0F7F" w:rsidP="004B0F7F">
      <w:pPr>
        <w:pStyle w:val="ListParagraph"/>
        <w:numPr>
          <w:ilvl w:val="0"/>
          <w:numId w:val="25"/>
        </w:numPr>
        <w:spacing w:after="120"/>
        <w:rPr>
          <w:rFonts w:cstheme="minorHAnsi"/>
          <w:sz w:val="20"/>
          <w:szCs w:val="20"/>
          <w:lang w:val="et-EE"/>
        </w:rPr>
      </w:pPr>
      <w:r w:rsidRPr="009739BF">
        <w:rPr>
          <w:rFonts w:cstheme="minorHAnsi"/>
          <w:sz w:val="20"/>
          <w:szCs w:val="20"/>
          <w:lang w:val="et-EE"/>
        </w:rPr>
        <w:t xml:space="preserve">PAI näitaja I.15: andmete esitaja ISS </w:t>
      </w:r>
      <w:proofErr w:type="spellStart"/>
      <w:r w:rsidRPr="009739BF">
        <w:rPr>
          <w:rFonts w:cstheme="minorHAnsi"/>
          <w:sz w:val="20"/>
          <w:szCs w:val="20"/>
          <w:lang w:val="et-EE"/>
        </w:rPr>
        <w:t>corporate</w:t>
      </w:r>
      <w:proofErr w:type="spellEnd"/>
      <w:r w:rsidRPr="009739BF">
        <w:rPr>
          <w:rFonts w:cstheme="minorHAnsi"/>
          <w:sz w:val="20"/>
          <w:szCs w:val="20"/>
          <w:lang w:val="et-EE"/>
        </w:rPr>
        <w:t xml:space="preserve"> </w:t>
      </w:r>
      <w:proofErr w:type="spellStart"/>
      <w:r w:rsidRPr="009739BF">
        <w:rPr>
          <w:rFonts w:cstheme="minorHAnsi"/>
          <w:sz w:val="20"/>
          <w:szCs w:val="20"/>
          <w:lang w:val="et-EE"/>
        </w:rPr>
        <w:t>solutions</w:t>
      </w:r>
      <w:proofErr w:type="spellEnd"/>
      <w:r w:rsidRPr="009739BF">
        <w:rPr>
          <w:rFonts w:cstheme="minorHAnsi"/>
          <w:sz w:val="20"/>
          <w:szCs w:val="20"/>
          <w:lang w:val="et-EE"/>
        </w:rPr>
        <w:t xml:space="preserve"> kohandas oma metoodikat, et see oleks kooskõlas PCAF-i (Süsiniku arvepidamise finantspartnerluse) standardiga. Kasvuhoonegaaside intensiivsus investeeringute objektiks olevates riikides ei põhine enam ainult 1. valdkonna heitkogustel, vaid hõlmab ka 2. ja 3. valdkonna heitkoguseid.</w:t>
      </w:r>
    </w:p>
    <w:p w14:paraId="2980AD3D" w14:textId="421674C7" w:rsidR="00117034" w:rsidRPr="009739BF" w:rsidRDefault="00117034" w:rsidP="00E916A3">
      <w:pPr>
        <w:pStyle w:val="ListParagraph"/>
        <w:numPr>
          <w:ilvl w:val="0"/>
          <w:numId w:val="24"/>
        </w:numPr>
        <w:spacing w:after="120"/>
        <w:rPr>
          <w:rFonts w:cstheme="minorHAnsi"/>
          <w:sz w:val="20"/>
          <w:szCs w:val="20"/>
          <w:lang w:val="et-EE"/>
        </w:rPr>
      </w:pPr>
      <w:r w:rsidRPr="009739BF">
        <w:rPr>
          <w:rFonts w:cstheme="minorHAnsi"/>
          <w:sz w:val="20"/>
          <w:szCs w:val="20"/>
          <w:lang w:val="et-EE"/>
        </w:rPr>
        <w:t>Aruandeaastaks 2023 tuli lisada kaks täiendavat vabatahtlikku PAI näitajat:</w:t>
      </w:r>
    </w:p>
    <w:p w14:paraId="10C8DFEF" w14:textId="5DA7D8AC" w:rsidR="00DE1FAB" w:rsidRPr="009739BF" w:rsidRDefault="00DE1FAB" w:rsidP="00117034">
      <w:pPr>
        <w:pStyle w:val="ListParagraph"/>
        <w:numPr>
          <w:ilvl w:val="1"/>
          <w:numId w:val="25"/>
        </w:numPr>
        <w:spacing w:after="120"/>
        <w:rPr>
          <w:rFonts w:cstheme="minorHAnsi"/>
          <w:sz w:val="20"/>
          <w:szCs w:val="20"/>
          <w:lang w:val="et-EE"/>
        </w:rPr>
      </w:pPr>
      <w:r w:rsidRPr="009739BF">
        <w:rPr>
          <w:rFonts w:cstheme="minorHAnsi"/>
          <w:sz w:val="20"/>
          <w:szCs w:val="20"/>
          <w:lang w:val="et-EE"/>
        </w:rPr>
        <w:t>II.4 Investeeringute osakaal investeerimisobjektiks olevatesse äriühingutesse, kellel puuduvad süsinikdioksiidi heitkoguste vähendamise algatused, mille eesmärk on viia need vastavusse Pariisi lepinguga</w:t>
      </w:r>
    </w:p>
    <w:p w14:paraId="05437FD0" w14:textId="2CB8406A" w:rsidR="00DE1FAB" w:rsidRPr="009739BF" w:rsidRDefault="00DE1FAB" w:rsidP="00117034">
      <w:pPr>
        <w:pStyle w:val="ListParagraph"/>
        <w:numPr>
          <w:ilvl w:val="1"/>
          <w:numId w:val="25"/>
        </w:numPr>
        <w:spacing w:after="120"/>
        <w:rPr>
          <w:rFonts w:cstheme="minorHAnsi"/>
          <w:sz w:val="20"/>
          <w:szCs w:val="20"/>
          <w:lang w:val="et-EE"/>
        </w:rPr>
      </w:pPr>
      <w:r w:rsidRPr="009739BF">
        <w:rPr>
          <w:rFonts w:cstheme="minorHAnsi"/>
          <w:sz w:val="20"/>
          <w:szCs w:val="20"/>
          <w:lang w:val="et-EE"/>
        </w:rPr>
        <w:t>III.9 Investeeringute osakaal üksustes, kellel puudub inimõigusi käsitlev poliitika</w:t>
      </w:r>
    </w:p>
    <w:p w14:paraId="62403571" w14:textId="511BAC70" w:rsidR="00DE1FAB" w:rsidRPr="009739BF" w:rsidRDefault="00117034" w:rsidP="00E73537">
      <w:pPr>
        <w:pStyle w:val="ListParagraph"/>
        <w:numPr>
          <w:ilvl w:val="0"/>
          <w:numId w:val="23"/>
        </w:numPr>
        <w:spacing w:after="120"/>
        <w:jc w:val="both"/>
        <w:rPr>
          <w:rFonts w:cstheme="minorHAnsi"/>
          <w:sz w:val="20"/>
          <w:szCs w:val="20"/>
          <w:lang w:val="et-EE"/>
        </w:rPr>
      </w:pPr>
      <w:r w:rsidRPr="009739BF">
        <w:rPr>
          <w:rFonts w:cstheme="minorHAnsi"/>
          <w:sz w:val="20"/>
          <w:szCs w:val="20"/>
          <w:lang w:val="et-EE"/>
        </w:rPr>
        <w:t>Mõne vara puhul puuduvad endiselt andmed negatiivse mõju kohta. Kui andmeid oli võimalik koguda, võrreldakse tuvastatud negatiivset mõju nende investeeringute koguarvuga, mille kohta andmeid koguti. Investeeringuid, mille kohta andmed puuduvad, ei võeta suhtarvu nimetajas arvesse.</w:t>
      </w:r>
    </w:p>
    <w:p w14:paraId="08DAB3D5" w14:textId="77777777" w:rsidR="00DE1FAB" w:rsidRPr="009739BF" w:rsidRDefault="00DE1FAB" w:rsidP="00DE1FAB">
      <w:pPr>
        <w:spacing w:after="120"/>
        <w:jc w:val="both"/>
        <w:rPr>
          <w:rFonts w:cstheme="minorHAnsi"/>
          <w:sz w:val="20"/>
          <w:szCs w:val="20"/>
          <w:lang w:val="et-EE"/>
        </w:rPr>
      </w:pPr>
    </w:p>
    <w:p w14:paraId="6E0B36BF" w14:textId="361120AF" w:rsidR="006827C1" w:rsidRPr="009739BF" w:rsidRDefault="006827C1" w:rsidP="006827C1">
      <w:pPr>
        <w:spacing w:after="120"/>
        <w:jc w:val="both"/>
        <w:rPr>
          <w:rFonts w:cstheme="minorHAnsi"/>
          <w:sz w:val="20"/>
          <w:szCs w:val="20"/>
          <w:lang w:val="et-EE"/>
        </w:rPr>
      </w:pPr>
      <w:r w:rsidRPr="009739BF">
        <w:rPr>
          <w:rFonts w:cstheme="minorHAnsi"/>
          <w:sz w:val="20"/>
          <w:szCs w:val="20"/>
          <w:lang w:val="et-EE"/>
        </w:rPr>
        <w:t>Arvestame põhilist negatiivset mõju üksuse tasandil, mõõtes ja jälgides negatiivset kogumõju oma investeeringute jätkusuutlikkusteguritele. Jälgime 14-t kohustuslikku põhilise negatiivse mõju näitajat ja kahte vabatahtlikku näitajat, mis on määratletud jätkusuutlikkust käsitleva teabe avalikustamise määruses (SFDR). Teave pärineb erinevatelt andmeesitajatelt kättesaadavate andmete ulatuses. Eelkõige puuduvad põhilise negatiivse mõju andmed mõne meie portfellis oleva osalusinvesteeringu, kontsernisisese laenu ja investeerimisfondi kohta.</w:t>
      </w:r>
    </w:p>
    <w:p w14:paraId="19D8F19C" w14:textId="3C7113B4" w:rsidR="006827C1" w:rsidRPr="009739BF" w:rsidRDefault="006827C1" w:rsidP="006827C1">
      <w:pPr>
        <w:spacing w:after="120"/>
        <w:jc w:val="both"/>
        <w:rPr>
          <w:rFonts w:cstheme="minorHAnsi"/>
          <w:sz w:val="20"/>
          <w:szCs w:val="20"/>
          <w:lang w:val="et-EE"/>
        </w:rPr>
      </w:pPr>
      <w:r w:rsidRPr="009739BF">
        <w:rPr>
          <w:rFonts w:cstheme="minorHAnsi"/>
          <w:sz w:val="20"/>
          <w:szCs w:val="20"/>
          <w:lang w:val="et-EE"/>
        </w:rPr>
        <w:t xml:space="preserve">Nagu eespool mainitud, jälgime peale kohustuslike näitajate ka vabatahtlikku näitajat, mis on seotud meie portfelli investeeringute kokkupuutega suure veestressiga aladega. Selle näitaja all jälgime selliste investeeringute osakaalu, mis on tehtud investeerimisobjektiks olevatesse äriühingutesse, kelle tegevuskohad asuvad suure veestressiga aladel ja kus puudub veemajanduspoliitika. Näitaja kuulub kliima ja keskkonnaga seotud lisanäitajate alla, nagu on määratletud </w:t>
      </w:r>
      <w:proofErr w:type="spellStart"/>
      <w:r w:rsidRPr="009739BF">
        <w:rPr>
          <w:rFonts w:cstheme="minorHAnsi"/>
          <w:sz w:val="20"/>
          <w:szCs w:val="20"/>
          <w:lang w:val="et-EE"/>
        </w:rPr>
        <w:t>SFDRis</w:t>
      </w:r>
      <w:proofErr w:type="spellEnd"/>
      <w:r w:rsidRPr="009739BF">
        <w:rPr>
          <w:rFonts w:cstheme="minorHAnsi"/>
          <w:sz w:val="20"/>
          <w:szCs w:val="20"/>
          <w:lang w:val="et-EE"/>
        </w:rPr>
        <w:t xml:space="preserve"> (tabel 2, näitaja 8).</w:t>
      </w:r>
    </w:p>
    <w:p w14:paraId="51BC5354" w14:textId="66747D4F" w:rsidR="00D2169B" w:rsidRPr="009739BF" w:rsidRDefault="006827C1" w:rsidP="007F5FE2">
      <w:pPr>
        <w:spacing w:after="120"/>
        <w:jc w:val="both"/>
        <w:rPr>
          <w:rFonts w:cstheme="minorHAnsi"/>
          <w:sz w:val="20"/>
          <w:szCs w:val="20"/>
          <w:lang w:val="et-EE"/>
        </w:rPr>
      </w:pPr>
      <w:r w:rsidRPr="009739BF">
        <w:rPr>
          <w:rFonts w:cstheme="minorHAnsi"/>
          <w:sz w:val="20"/>
          <w:szCs w:val="20"/>
          <w:lang w:val="et-EE"/>
        </w:rPr>
        <w:t>Samuti kaalume lisanäitajat, mis hõlmab sotsiaalseid ja töötajatega seotud küsimusi. Selle näitaja puhul jälgime tööõnnetuste määra investeerimisobjektiks olevates äriühingutes, mis väljendub kaalutud keskmisena. Näitaja kuulub lisanäitajate alla, mis hõlmab sotsiaalseid ja töötajatega seotud küsimusi, inimõiguste austamist ning korruptsiooni- ja altkäemaksuvastast võitlust, nagu on määratletud SFDR-</w:t>
      </w:r>
      <w:proofErr w:type="spellStart"/>
      <w:r w:rsidRPr="009739BF">
        <w:rPr>
          <w:rFonts w:cstheme="minorHAnsi"/>
          <w:sz w:val="20"/>
          <w:szCs w:val="20"/>
          <w:lang w:val="et-EE"/>
        </w:rPr>
        <w:t>is</w:t>
      </w:r>
      <w:proofErr w:type="spellEnd"/>
      <w:r w:rsidRPr="009739BF">
        <w:rPr>
          <w:rFonts w:cstheme="minorHAnsi"/>
          <w:sz w:val="20"/>
          <w:szCs w:val="20"/>
          <w:lang w:val="et-EE"/>
        </w:rPr>
        <w:t xml:space="preserve"> (tabel 3, näitaja 2).</w:t>
      </w:r>
    </w:p>
    <w:p w14:paraId="0D7855F2" w14:textId="77777777" w:rsidR="008E540C" w:rsidRPr="009739BF" w:rsidRDefault="008E540C" w:rsidP="00DC4872">
      <w:pPr>
        <w:jc w:val="both"/>
        <w:rPr>
          <w:rFonts w:ascii="FS Me" w:hAnsi="FS Me"/>
          <w:b/>
          <w:sz w:val="22"/>
          <w:lang w:val="et-EE"/>
        </w:rPr>
      </w:pPr>
    </w:p>
    <w:p w14:paraId="4F4D82AA" w14:textId="48DE2683" w:rsidR="007B5581" w:rsidRPr="009739BF" w:rsidRDefault="007B5581" w:rsidP="00DC4872">
      <w:pPr>
        <w:jc w:val="both"/>
        <w:rPr>
          <w:rFonts w:ascii="FS Me" w:hAnsi="FS Me"/>
          <w:b/>
          <w:sz w:val="22"/>
          <w:lang w:val="et-EE"/>
        </w:rPr>
        <w:sectPr w:rsidR="007B5581" w:rsidRPr="009739BF" w:rsidSect="008E540C">
          <w:headerReference w:type="default" r:id="rId12"/>
          <w:footerReference w:type="default" r:id="rId13"/>
          <w:pgSz w:w="11907" w:h="16839" w:code="9"/>
          <w:pgMar w:top="1134" w:right="992" w:bottom="1134" w:left="1134" w:header="709" w:footer="709" w:gutter="0"/>
          <w:pgNumType w:start="0"/>
          <w:cols w:space="708"/>
          <w:docGrid w:linePitch="360"/>
        </w:sectPr>
      </w:pPr>
    </w:p>
    <w:p w14:paraId="6B6ECE43" w14:textId="14EBC92B" w:rsidR="00F4562B" w:rsidRPr="009739BF" w:rsidRDefault="00F4562B" w:rsidP="00F4562B">
      <w:pPr>
        <w:rPr>
          <w:b/>
          <w:bCs/>
          <w:lang w:val="et-EE"/>
        </w:rPr>
      </w:pPr>
      <w:r w:rsidRPr="009739BF">
        <w:rPr>
          <w:b/>
          <w:bCs/>
          <w:lang w:val="et-EE"/>
        </w:rPr>
        <w:lastRenderedPageBreak/>
        <w:t>Jätkusuutlikkusteguritele avalduva põhilise negatiivse mõju kirjeldus</w:t>
      </w:r>
    </w:p>
    <w:p w14:paraId="34912E98" w14:textId="77777777" w:rsidR="00F4562B" w:rsidRPr="009739BF" w:rsidRDefault="00F4562B" w:rsidP="00F4562B">
      <w:pPr>
        <w:rPr>
          <w:b/>
          <w:bCs/>
          <w:lang w:val="et-EE"/>
        </w:rPr>
      </w:pPr>
    </w:p>
    <w:p w14:paraId="209F78D3" w14:textId="77777777" w:rsidR="00F4562B" w:rsidRPr="009739BF" w:rsidRDefault="00F4562B" w:rsidP="00C42B7D">
      <w:pPr>
        <w:rPr>
          <w:b/>
          <w:lang w:val="et-EE"/>
        </w:rPr>
      </w:pPr>
      <w:r w:rsidRPr="009739BF">
        <w:rPr>
          <w:b/>
          <w:bCs/>
          <w:lang w:val="et-EE"/>
        </w:rPr>
        <w:t>Investeerimisobjektiks olevatesse äriühingutesse tehtavate investeeringute suhtes kohaldatavad näitajad</w:t>
      </w:r>
    </w:p>
    <w:p w14:paraId="64D3EC62" w14:textId="77777777" w:rsidR="007B5581" w:rsidRPr="009739BF" w:rsidRDefault="007B5581" w:rsidP="007B5581">
      <w:pPr>
        <w:jc w:val="both"/>
        <w:rPr>
          <w:rFonts w:ascii="FS Me" w:hAnsi="FS Me"/>
          <w:b/>
          <w:sz w:val="22"/>
          <w:lang w:val="et-EE"/>
        </w:rPr>
      </w:pPr>
    </w:p>
    <w:tbl>
      <w:tblPr>
        <w:tblStyle w:val="TableGrid"/>
        <w:tblW w:w="0" w:type="auto"/>
        <w:tblLook w:val="04A0" w:firstRow="1" w:lastRow="0" w:firstColumn="1" w:lastColumn="0" w:noHBand="0" w:noVBand="1"/>
      </w:tblPr>
      <w:tblGrid>
        <w:gridCol w:w="2185"/>
        <w:gridCol w:w="2135"/>
        <w:gridCol w:w="2905"/>
        <w:gridCol w:w="1701"/>
        <w:gridCol w:w="1701"/>
        <w:gridCol w:w="3934"/>
      </w:tblGrid>
      <w:tr w:rsidR="00125439" w:rsidRPr="00705488" w14:paraId="6D791635" w14:textId="77777777" w:rsidTr="00125439">
        <w:tc>
          <w:tcPr>
            <w:tcW w:w="4320" w:type="dxa"/>
            <w:gridSpan w:val="2"/>
          </w:tcPr>
          <w:p w14:paraId="1BEC8EDC" w14:textId="1A957A3B" w:rsidR="00125439" w:rsidRPr="009739BF" w:rsidRDefault="00125439" w:rsidP="00FD16E1">
            <w:pPr>
              <w:rPr>
                <w:rFonts w:ascii="FS Me" w:hAnsi="FS Me"/>
                <w:b/>
                <w:sz w:val="18"/>
                <w:szCs w:val="18"/>
                <w:lang w:val="et-EE"/>
              </w:rPr>
            </w:pPr>
            <w:r w:rsidRPr="009739BF">
              <w:rPr>
                <w:rFonts w:ascii="FS Me" w:hAnsi="FS Me"/>
                <w:b/>
                <w:bCs/>
                <w:sz w:val="18"/>
                <w:szCs w:val="18"/>
                <w:lang w:val="et-EE"/>
              </w:rPr>
              <w:t>Jätkusuutlikkusele avalduva negatiivse mõju näitaja</w:t>
            </w:r>
          </w:p>
        </w:tc>
        <w:tc>
          <w:tcPr>
            <w:tcW w:w="2905" w:type="dxa"/>
          </w:tcPr>
          <w:p w14:paraId="5D313E66" w14:textId="2D18277C" w:rsidR="00125439" w:rsidRPr="009739BF" w:rsidRDefault="00125439" w:rsidP="00FD16E1">
            <w:pPr>
              <w:rPr>
                <w:rFonts w:ascii="FS Me" w:hAnsi="FS Me"/>
                <w:b/>
                <w:sz w:val="18"/>
                <w:szCs w:val="18"/>
                <w:lang w:val="et-EE"/>
              </w:rPr>
            </w:pPr>
            <w:r w:rsidRPr="009739BF">
              <w:rPr>
                <w:rFonts w:ascii="FS Me" w:hAnsi="FS Me"/>
                <w:b/>
                <w:bCs/>
                <w:sz w:val="18"/>
                <w:szCs w:val="18"/>
                <w:lang w:val="et-EE"/>
              </w:rPr>
              <w:t>Mõõtühik</w:t>
            </w:r>
          </w:p>
        </w:tc>
        <w:tc>
          <w:tcPr>
            <w:tcW w:w="1701" w:type="dxa"/>
          </w:tcPr>
          <w:p w14:paraId="75DE423F" w14:textId="7E976FE2" w:rsidR="00125439" w:rsidRPr="009739BF" w:rsidRDefault="00125439" w:rsidP="00FD16E1">
            <w:pPr>
              <w:rPr>
                <w:rFonts w:ascii="FS Me" w:hAnsi="FS Me"/>
                <w:b/>
                <w:sz w:val="18"/>
                <w:szCs w:val="18"/>
                <w:lang w:val="et-EE"/>
              </w:rPr>
            </w:pPr>
            <w:r w:rsidRPr="009739BF">
              <w:rPr>
                <w:rFonts w:ascii="FS Me" w:hAnsi="FS Me"/>
                <w:b/>
                <w:bCs/>
                <w:sz w:val="18"/>
                <w:szCs w:val="18"/>
                <w:lang w:val="et-EE"/>
              </w:rPr>
              <w:t>Mõju 2023</w:t>
            </w:r>
          </w:p>
        </w:tc>
        <w:tc>
          <w:tcPr>
            <w:tcW w:w="1701" w:type="dxa"/>
          </w:tcPr>
          <w:p w14:paraId="4533BCE6" w14:textId="710C449A" w:rsidR="00125439" w:rsidRPr="009739BF" w:rsidRDefault="00125439" w:rsidP="00FD16E1">
            <w:pPr>
              <w:rPr>
                <w:rFonts w:ascii="FS Me" w:hAnsi="FS Me"/>
                <w:b/>
                <w:sz w:val="18"/>
                <w:szCs w:val="18"/>
                <w:lang w:val="et-EE"/>
              </w:rPr>
            </w:pPr>
            <w:r w:rsidRPr="009739BF">
              <w:rPr>
                <w:rFonts w:ascii="FS Me" w:hAnsi="FS Me"/>
                <w:b/>
                <w:bCs/>
                <w:sz w:val="18"/>
                <w:szCs w:val="18"/>
                <w:lang w:val="et-EE"/>
              </w:rPr>
              <w:t>Mõju 2022</w:t>
            </w:r>
          </w:p>
        </w:tc>
        <w:tc>
          <w:tcPr>
            <w:tcW w:w="3934" w:type="dxa"/>
          </w:tcPr>
          <w:p w14:paraId="4E60AA7B" w14:textId="15651DF6" w:rsidR="00125439" w:rsidRPr="009739BF" w:rsidRDefault="00125439" w:rsidP="00FD16E1">
            <w:pPr>
              <w:rPr>
                <w:rFonts w:ascii="FS Me" w:hAnsi="FS Me"/>
                <w:b/>
                <w:sz w:val="18"/>
                <w:szCs w:val="18"/>
                <w:lang w:val="et-EE"/>
              </w:rPr>
            </w:pPr>
            <w:r w:rsidRPr="009739BF">
              <w:rPr>
                <w:rFonts w:ascii="FS Me" w:hAnsi="FS Me"/>
                <w:b/>
                <w:bCs/>
                <w:sz w:val="18"/>
                <w:szCs w:val="18"/>
                <w:lang w:val="et-EE"/>
              </w:rPr>
              <w:t>Võetud meetmed ning järgmiseks aruandlusperioodiks kavandatud meetmed ja seatud eesmärgid</w:t>
            </w:r>
          </w:p>
        </w:tc>
      </w:tr>
      <w:tr w:rsidR="001216F4" w:rsidRPr="009739BF" w14:paraId="382F166E" w14:textId="77777777" w:rsidTr="00C725DE">
        <w:tc>
          <w:tcPr>
            <w:tcW w:w="14561" w:type="dxa"/>
            <w:gridSpan w:val="6"/>
          </w:tcPr>
          <w:p w14:paraId="4B639FD8" w14:textId="77777777" w:rsidR="00586401" w:rsidRPr="009739BF" w:rsidRDefault="00586401" w:rsidP="00C42B7D">
            <w:pPr>
              <w:rPr>
                <w:b/>
                <w:sz w:val="18"/>
                <w:szCs w:val="18"/>
                <w:lang w:val="et-EE"/>
              </w:rPr>
            </w:pPr>
            <w:r w:rsidRPr="009739BF">
              <w:rPr>
                <w:rFonts w:ascii="FS Me" w:hAnsi="FS Me"/>
                <w:b/>
                <w:bCs/>
                <w:sz w:val="18"/>
                <w:szCs w:val="18"/>
                <w:lang w:val="et-EE"/>
              </w:rPr>
              <w:t>KLIIMANÄITAJAD JA MUUD KESKKONNANÄITAJAD</w:t>
            </w:r>
          </w:p>
          <w:p w14:paraId="02B6C1A2" w14:textId="4ABCE32A" w:rsidR="001216F4" w:rsidRPr="009739BF" w:rsidRDefault="001216F4" w:rsidP="00FD16E1">
            <w:pPr>
              <w:rPr>
                <w:rFonts w:ascii="FS Me" w:hAnsi="FS Me"/>
                <w:b/>
                <w:sz w:val="18"/>
                <w:szCs w:val="18"/>
                <w:lang w:val="et-EE"/>
              </w:rPr>
            </w:pPr>
          </w:p>
        </w:tc>
      </w:tr>
      <w:tr w:rsidR="00125439" w:rsidRPr="00705488" w14:paraId="6D0506AC" w14:textId="77777777" w:rsidTr="00125439">
        <w:tc>
          <w:tcPr>
            <w:tcW w:w="2185" w:type="dxa"/>
          </w:tcPr>
          <w:p w14:paraId="017C44BF" w14:textId="23AA4294" w:rsidR="00125439" w:rsidRPr="009739BF" w:rsidRDefault="00125439" w:rsidP="008B36C3">
            <w:pPr>
              <w:rPr>
                <w:rFonts w:ascii="FS Me" w:hAnsi="FS Me"/>
                <w:sz w:val="18"/>
                <w:szCs w:val="18"/>
                <w:lang w:val="et-EE"/>
              </w:rPr>
            </w:pPr>
            <w:r w:rsidRPr="009739BF">
              <w:rPr>
                <w:rFonts w:ascii="FS Me" w:hAnsi="FS Me"/>
                <w:sz w:val="18"/>
                <w:szCs w:val="18"/>
                <w:lang w:val="et-EE"/>
              </w:rPr>
              <w:t>Kasvuhoonegaaside heide</w:t>
            </w:r>
          </w:p>
        </w:tc>
        <w:tc>
          <w:tcPr>
            <w:tcW w:w="2135" w:type="dxa"/>
          </w:tcPr>
          <w:p w14:paraId="17660225" w14:textId="324600CB" w:rsidR="00125439" w:rsidRPr="009739BF" w:rsidRDefault="00125439" w:rsidP="008B36C3">
            <w:pPr>
              <w:rPr>
                <w:rFonts w:ascii="FS Me" w:hAnsi="FS Me"/>
                <w:sz w:val="18"/>
                <w:szCs w:val="18"/>
                <w:lang w:val="et-EE"/>
              </w:rPr>
            </w:pPr>
            <w:r w:rsidRPr="009739BF">
              <w:rPr>
                <w:rFonts w:ascii="FS Me" w:hAnsi="FS Me"/>
                <w:sz w:val="18"/>
                <w:szCs w:val="18"/>
                <w:lang w:val="et-EE"/>
              </w:rPr>
              <w:t>1 Kasvuhoonegaaside heide</w:t>
            </w:r>
          </w:p>
        </w:tc>
        <w:tc>
          <w:tcPr>
            <w:tcW w:w="2905" w:type="dxa"/>
          </w:tcPr>
          <w:p w14:paraId="3F6D061B" w14:textId="096B9872" w:rsidR="00125439" w:rsidRPr="009739BF" w:rsidRDefault="00125439" w:rsidP="008B36C3">
            <w:pPr>
              <w:rPr>
                <w:rFonts w:ascii="FS Me" w:hAnsi="FS Me"/>
                <w:sz w:val="18"/>
                <w:szCs w:val="18"/>
                <w:lang w:val="et-EE"/>
              </w:rPr>
            </w:pPr>
            <w:r w:rsidRPr="009739BF">
              <w:rPr>
                <w:rFonts w:ascii="FS Me" w:hAnsi="FS Me"/>
                <w:sz w:val="18"/>
                <w:szCs w:val="18"/>
                <w:lang w:val="et-EE"/>
              </w:rPr>
              <w:t>1. valdkonna kasvuhoonegaaside heide</w:t>
            </w:r>
          </w:p>
        </w:tc>
        <w:tc>
          <w:tcPr>
            <w:tcW w:w="1701" w:type="dxa"/>
          </w:tcPr>
          <w:p w14:paraId="35077F70" w14:textId="530563FD" w:rsidR="00125439" w:rsidRPr="009739BF" w:rsidRDefault="00125439" w:rsidP="008B36C3">
            <w:pPr>
              <w:rPr>
                <w:rFonts w:ascii="FS Me" w:hAnsi="FS Me"/>
                <w:sz w:val="18"/>
                <w:szCs w:val="18"/>
                <w:lang w:val="et-EE"/>
              </w:rPr>
            </w:pPr>
            <w:r w:rsidRPr="009739BF">
              <w:rPr>
                <w:rFonts w:ascii="FS Me" w:hAnsi="FS Me"/>
                <w:sz w:val="18"/>
                <w:szCs w:val="18"/>
                <w:lang w:val="et-EE"/>
              </w:rPr>
              <w:t>2911,1 tCO</w:t>
            </w:r>
            <w:r w:rsidRPr="009739BF">
              <w:rPr>
                <w:rFonts w:ascii="FS Me" w:hAnsi="FS Me"/>
                <w:sz w:val="18"/>
                <w:szCs w:val="18"/>
                <w:vertAlign w:val="subscript"/>
                <w:lang w:val="et-EE"/>
              </w:rPr>
              <w:t>2</w:t>
            </w:r>
          </w:p>
        </w:tc>
        <w:tc>
          <w:tcPr>
            <w:tcW w:w="1701" w:type="dxa"/>
          </w:tcPr>
          <w:p w14:paraId="549015C8" w14:textId="048EB08C"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3984,3 tCO</w:t>
            </w:r>
            <w:r w:rsidRPr="009739BF">
              <w:rPr>
                <w:rFonts w:ascii="FS Me" w:hAnsi="FS Me" w:cstheme="minorHAnsi"/>
                <w:sz w:val="18"/>
                <w:szCs w:val="18"/>
                <w:vertAlign w:val="subscript"/>
                <w:lang w:val="et-EE"/>
              </w:rPr>
              <w:t>2</w:t>
            </w:r>
          </w:p>
        </w:tc>
        <w:tc>
          <w:tcPr>
            <w:tcW w:w="3934" w:type="dxa"/>
            <w:vMerge w:val="restart"/>
          </w:tcPr>
          <w:p w14:paraId="43F90BCD" w14:textId="728AE09D" w:rsidR="00125439" w:rsidRPr="009739BF" w:rsidRDefault="00125439" w:rsidP="008B36C3">
            <w:pPr>
              <w:rPr>
                <w:rFonts w:ascii="FS Me" w:hAnsi="FS Me"/>
                <w:sz w:val="18"/>
                <w:szCs w:val="18"/>
                <w:lang w:val="et-EE"/>
              </w:rPr>
            </w:pPr>
            <w:r w:rsidRPr="009739BF">
              <w:rPr>
                <w:rFonts w:ascii="FS Me" w:hAnsi="FS Me"/>
                <w:sz w:val="18"/>
                <w:szCs w:val="18"/>
                <w:lang w:val="et-EE"/>
              </w:rPr>
              <w:t>Meie kontsern ühines 2020. aasta jaanuaris algatusega „Net-</w:t>
            </w:r>
            <w:proofErr w:type="spellStart"/>
            <w:r w:rsidRPr="009739BF">
              <w:rPr>
                <w:rFonts w:ascii="FS Me" w:hAnsi="FS Me"/>
                <w:sz w:val="18"/>
                <w:szCs w:val="18"/>
                <w:lang w:val="et-EE"/>
              </w:rPr>
              <w:t>Zero</w:t>
            </w:r>
            <w:proofErr w:type="spellEnd"/>
            <w:r w:rsidRPr="009739BF">
              <w:rPr>
                <w:rFonts w:ascii="FS Me" w:hAnsi="FS Me"/>
                <w:sz w:val="18"/>
                <w:szCs w:val="18"/>
                <w:lang w:val="et-EE"/>
              </w:rPr>
              <w:t xml:space="preserve"> Asset </w:t>
            </w:r>
            <w:proofErr w:type="spellStart"/>
            <w:r w:rsidRPr="009739BF">
              <w:rPr>
                <w:rFonts w:ascii="FS Me" w:hAnsi="FS Me"/>
                <w:sz w:val="18"/>
                <w:szCs w:val="18"/>
                <w:lang w:val="et-EE"/>
              </w:rPr>
              <w:t>Owner</w:t>
            </w:r>
            <w:proofErr w:type="spellEnd"/>
            <w:r w:rsidRPr="009739BF">
              <w:rPr>
                <w:rFonts w:ascii="FS Me" w:hAnsi="FS Me"/>
                <w:sz w:val="18"/>
                <w:szCs w:val="18"/>
                <w:lang w:val="et-EE"/>
              </w:rPr>
              <w:t xml:space="preserve"> Alliance“ ja võttis kohustuse tagada 2050. aastaks oma investeerimisportfelli CO₂-neutraalsus. Kooskõlas Pariisi kliimakokkuleppe eesmärkidega on investorite algatuse eesmärk aidata kaasa keskmise üleilmse soojenemise hoidmisele alla 1,5 °C.</w:t>
            </w:r>
          </w:p>
          <w:p w14:paraId="4724E229" w14:textId="44469835" w:rsidR="00125439" w:rsidRPr="009739BF" w:rsidRDefault="00125439" w:rsidP="008B36C3">
            <w:pPr>
              <w:rPr>
                <w:rFonts w:ascii="FS Me" w:hAnsi="FS Me"/>
                <w:sz w:val="18"/>
                <w:szCs w:val="18"/>
                <w:lang w:val="et-EE"/>
              </w:rPr>
            </w:pPr>
            <w:r w:rsidRPr="009739BF">
              <w:rPr>
                <w:rFonts w:ascii="FS Me" w:hAnsi="FS Me"/>
                <w:sz w:val="18"/>
                <w:szCs w:val="18"/>
                <w:lang w:val="et-EE"/>
              </w:rPr>
              <w:t xml:space="preserve">Selle </w:t>
            </w:r>
            <w:proofErr w:type="spellStart"/>
            <w:r w:rsidRPr="009739BF">
              <w:rPr>
                <w:rFonts w:ascii="FS Me" w:hAnsi="FS Me"/>
                <w:sz w:val="18"/>
                <w:szCs w:val="18"/>
                <w:lang w:val="et-EE"/>
              </w:rPr>
              <w:t>liikmesuse</w:t>
            </w:r>
            <w:proofErr w:type="spellEnd"/>
            <w:r w:rsidRPr="009739BF">
              <w:rPr>
                <w:rFonts w:ascii="FS Me" w:hAnsi="FS Me"/>
                <w:sz w:val="18"/>
                <w:szCs w:val="18"/>
                <w:lang w:val="et-EE"/>
              </w:rPr>
              <w:t xml:space="preserve"> raames on kontsern lubanud ka loobuda 2040. aastaks küttesöe kasutamisest. Need eesmärgid seatakse kontserni tasandil ja ERGO aitab nende saavutamisele kaasa nii palju kui võimalik.</w:t>
            </w:r>
          </w:p>
        </w:tc>
      </w:tr>
      <w:tr w:rsidR="00125439" w:rsidRPr="009739BF" w14:paraId="2DEF63A0" w14:textId="77777777" w:rsidTr="00125439">
        <w:tc>
          <w:tcPr>
            <w:tcW w:w="2185" w:type="dxa"/>
          </w:tcPr>
          <w:p w14:paraId="74DDF522" w14:textId="77777777" w:rsidR="00125439" w:rsidRPr="009739BF" w:rsidRDefault="00125439" w:rsidP="008B36C3">
            <w:pPr>
              <w:rPr>
                <w:rFonts w:ascii="FS Me" w:hAnsi="FS Me"/>
                <w:sz w:val="18"/>
                <w:szCs w:val="18"/>
                <w:lang w:val="et-EE"/>
              </w:rPr>
            </w:pPr>
          </w:p>
        </w:tc>
        <w:tc>
          <w:tcPr>
            <w:tcW w:w="2135" w:type="dxa"/>
          </w:tcPr>
          <w:p w14:paraId="021214EA" w14:textId="77777777" w:rsidR="00125439" w:rsidRPr="009739BF" w:rsidRDefault="00125439" w:rsidP="008B36C3">
            <w:pPr>
              <w:rPr>
                <w:rFonts w:ascii="FS Me" w:hAnsi="FS Me"/>
                <w:sz w:val="18"/>
                <w:szCs w:val="18"/>
                <w:lang w:val="et-EE"/>
              </w:rPr>
            </w:pPr>
          </w:p>
        </w:tc>
        <w:tc>
          <w:tcPr>
            <w:tcW w:w="2905" w:type="dxa"/>
          </w:tcPr>
          <w:p w14:paraId="0AB8F65B" w14:textId="64C35776" w:rsidR="00125439" w:rsidRPr="009739BF" w:rsidRDefault="00125439" w:rsidP="008B36C3">
            <w:pPr>
              <w:rPr>
                <w:rFonts w:ascii="FS Me" w:hAnsi="FS Me"/>
                <w:sz w:val="18"/>
                <w:szCs w:val="18"/>
                <w:lang w:val="et-EE"/>
              </w:rPr>
            </w:pPr>
            <w:r w:rsidRPr="009739BF">
              <w:rPr>
                <w:rFonts w:ascii="FS Me" w:hAnsi="FS Me"/>
                <w:sz w:val="18"/>
                <w:szCs w:val="18"/>
                <w:lang w:val="et-EE"/>
              </w:rPr>
              <w:t>2. valdkonna kasvuhoonegaaside heide</w:t>
            </w:r>
          </w:p>
        </w:tc>
        <w:tc>
          <w:tcPr>
            <w:tcW w:w="1701" w:type="dxa"/>
          </w:tcPr>
          <w:p w14:paraId="7495EE50" w14:textId="38813FDA" w:rsidR="00125439" w:rsidRPr="009739BF" w:rsidRDefault="00125439" w:rsidP="008B36C3">
            <w:pPr>
              <w:rPr>
                <w:rFonts w:ascii="FS Me" w:hAnsi="FS Me"/>
                <w:sz w:val="18"/>
                <w:szCs w:val="18"/>
                <w:lang w:val="et-EE"/>
              </w:rPr>
            </w:pPr>
            <w:r w:rsidRPr="009739BF">
              <w:rPr>
                <w:rFonts w:ascii="FS Me" w:hAnsi="FS Me"/>
                <w:sz w:val="18"/>
                <w:szCs w:val="18"/>
                <w:lang w:val="et-EE"/>
              </w:rPr>
              <w:t>589,8 tCO</w:t>
            </w:r>
            <w:r w:rsidRPr="009739BF">
              <w:rPr>
                <w:rFonts w:ascii="FS Me" w:hAnsi="FS Me"/>
                <w:sz w:val="18"/>
                <w:szCs w:val="18"/>
                <w:vertAlign w:val="subscript"/>
                <w:lang w:val="et-EE"/>
              </w:rPr>
              <w:t>2</w:t>
            </w:r>
          </w:p>
        </w:tc>
        <w:tc>
          <w:tcPr>
            <w:tcW w:w="1701" w:type="dxa"/>
          </w:tcPr>
          <w:p w14:paraId="74CFAE04" w14:textId="7117AA2C"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832,1 tCO</w:t>
            </w:r>
            <w:r w:rsidRPr="009739BF">
              <w:rPr>
                <w:rFonts w:ascii="FS Me" w:hAnsi="FS Me" w:cstheme="minorHAnsi"/>
                <w:sz w:val="18"/>
                <w:szCs w:val="18"/>
                <w:vertAlign w:val="subscript"/>
                <w:lang w:val="et-EE"/>
              </w:rPr>
              <w:t>2</w:t>
            </w:r>
          </w:p>
        </w:tc>
        <w:tc>
          <w:tcPr>
            <w:tcW w:w="3934" w:type="dxa"/>
            <w:vMerge/>
          </w:tcPr>
          <w:p w14:paraId="4DED9163" w14:textId="77777777" w:rsidR="00125439" w:rsidRPr="009739BF" w:rsidRDefault="00125439" w:rsidP="008B36C3">
            <w:pPr>
              <w:rPr>
                <w:rFonts w:ascii="FS Me" w:hAnsi="FS Me"/>
                <w:sz w:val="18"/>
                <w:szCs w:val="18"/>
                <w:lang w:val="et-EE"/>
              </w:rPr>
            </w:pPr>
          </w:p>
        </w:tc>
      </w:tr>
      <w:tr w:rsidR="00125439" w:rsidRPr="009739BF" w14:paraId="0FC8D44F" w14:textId="77777777" w:rsidTr="00125439">
        <w:tc>
          <w:tcPr>
            <w:tcW w:w="2185" w:type="dxa"/>
          </w:tcPr>
          <w:p w14:paraId="53CDB0BD" w14:textId="77777777" w:rsidR="00125439" w:rsidRPr="009739BF" w:rsidRDefault="00125439" w:rsidP="008B36C3">
            <w:pPr>
              <w:rPr>
                <w:rFonts w:ascii="FS Me" w:hAnsi="FS Me"/>
                <w:sz w:val="18"/>
                <w:szCs w:val="18"/>
                <w:lang w:val="et-EE"/>
              </w:rPr>
            </w:pPr>
          </w:p>
        </w:tc>
        <w:tc>
          <w:tcPr>
            <w:tcW w:w="2135" w:type="dxa"/>
          </w:tcPr>
          <w:p w14:paraId="150224AB" w14:textId="77777777" w:rsidR="00125439" w:rsidRPr="009739BF" w:rsidRDefault="00125439" w:rsidP="008B36C3">
            <w:pPr>
              <w:rPr>
                <w:rFonts w:ascii="FS Me" w:hAnsi="FS Me"/>
                <w:sz w:val="18"/>
                <w:szCs w:val="18"/>
                <w:lang w:val="et-EE"/>
              </w:rPr>
            </w:pPr>
          </w:p>
        </w:tc>
        <w:tc>
          <w:tcPr>
            <w:tcW w:w="2905" w:type="dxa"/>
          </w:tcPr>
          <w:p w14:paraId="0E457E14" w14:textId="3CA19705" w:rsidR="00125439" w:rsidRPr="009739BF" w:rsidRDefault="00125439" w:rsidP="008B36C3">
            <w:pPr>
              <w:rPr>
                <w:rFonts w:ascii="FS Me" w:hAnsi="FS Me"/>
                <w:sz w:val="18"/>
                <w:szCs w:val="18"/>
                <w:lang w:val="et-EE"/>
              </w:rPr>
            </w:pPr>
            <w:r w:rsidRPr="009739BF">
              <w:rPr>
                <w:rFonts w:ascii="FS Me" w:hAnsi="FS Me"/>
                <w:sz w:val="18"/>
                <w:szCs w:val="18"/>
                <w:lang w:val="et-EE"/>
              </w:rPr>
              <w:t>3. valdkonna kasvuhoonegaaside heide</w:t>
            </w:r>
          </w:p>
        </w:tc>
        <w:tc>
          <w:tcPr>
            <w:tcW w:w="1701" w:type="dxa"/>
          </w:tcPr>
          <w:p w14:paraId="232960A9" w14:textId="241737C0" w:rsidR="00125439" w:rsidRPr="009739BF" w:rsidRDefault="00125439" w:rsidP="008B36C3">
            <w:pPr>
              <w:rPr>
                <w:rFonts w:ascii="FS Me" w:hAnsi="FS Me"/>
                <w:sz w:val="18"/>
                <w:szCs w:val="18"/>
                <w:lang w:val="et-EE"/>
              </w:rPr>
            </w:pPr>
            <w:r w:rsidRPr="009739BF">
              <w:rPr>
                <w:rFonts w:ascii="FS Me" w:hAnsi="FS Me"/>
                <w:sz w:val="18"/>
                <w:szCs w:val="18"/>
                <w:lang w:val="et-EE"/>
              </w:rPr>
              <w:t>37 685,2 tCO</w:t>
            </w:r>
            <w:r w:rsidRPr="009739BF">
              <w:rPr>
                <w:rFonts w:ascii="FS Me" w:hAnsi="FS Me"/>
                <w:sz w:val="18"/>
                <w:szCs w:val="18"/>
                <w:vertAlign w:val="subscript"/>
                <w:lang w:val="et-EE"/>
              </w:rPr>
              <w:t>2</w:t>
            </w:r>
          </w:p>
        </w:tc>
        <w:tc>
          <w:tcPr>
            <w:tcW w:w="1701" w:type="dxa"/>
          </w:tcPr>
          <w:p w14:paraId="1B028375" w14:textId="33E8467B"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25 227,2 tCO</w:t>
            </w:r>
            <w:r w:rsidRPr="009739BF">
              <w:rPr>
                <w:rFonts w:ascii="FS Me" w:hAnsi="FS Me" w:cstheme="minorHAnsi"/>
                <w:sz w:val="18"/>
                <w:szCs w:val="18"/>
                <w:vertAlign w:val="subscript"/>
                <w:lang w:val="et-EE"/>
              </w:rPr>
              <w:t>2</w:t>
            </w:r>
          </w:p>
        </w:tc>
        <w:tc>
          <w:tcPr>
            <w:tcW w:w="3934" w:type="dxa"/>
            <w:vMerge/>
          </w:tcPr>
          <w:p w14:paraId="4300C66B" w14:textId="77777777" w:rsidR="00125439" w:rsidRPr="009739BF" w:rsidRDefault="00125439" w:rsidP="008B36C3">
            <w:pPr>
              <w:rPr>
                <w:rFonts w:ascii="FS Me" w:hAnsi="FS Me"/>
                <w:sz w:val="18"/>
                <w:szCs w:val="18"/>
                <w:lang w:val="et-EE"/>
              </w:rPr>
            </w:pPr>
          </w:p>
        </w:tc>
      </w:tr>
      <w:tr w:rsidR="00125439" w:rsidRPr="009739BF" w14:paraId="31C1E2A5" w14:textId="77777777" w:rsidTr="00125439">
        <w:tc>
          <w:tcPr>
            <w:tcW w:w="2185" w:type="dxa"/>
          </w:tcPr>
          <w:p w14:paraId="2685A195" w14:textId="77777777" w:rsidR="00125439" w:rsidRPr="009739BF" w:rsidRDefault="00125439" w:rsidP="008B36C3">
            <w:pPr>
              <w:rPr>
                <w:rFonts w:ascii="FS Me" w:hAnsi="FS Me"/>
                <w:sz w:val="18"/>
                <w:szCs w:val="18"/>
                <w:lang w:val="et-EE"/>
              </w:rPr>
            </w:pPr>
          </w:p>
        </w:tc>
        <w:tc>
          <w:tcPr>
            <w:tcW w:w="2135" w:type="dxa"/>
          </w:tcPr>
          <w:p w14:paraId="6F94A486" w14:textId="77777777" w:rsidR="00125439" w:rsidRPr="009739BF" w:rsidRDefault="00125439" w:rsidP="008B36C3">
            <w:pPr>
              <w:rPr>
                <w:rFonts w:ascii="FS Me" w:hAnsi="FS Me"/>
                <w:sz w:val="18"/>
                <w:szCs w:val="18"/>
                <w:lang w:val="et-EE"/>
              </w:rPr>
            </w:pPr>
          </w:p>
        </w:tc>
        <w:tc>
          <w:tcPr>
            <w:tcW w:w="2905" w:type="dxa"/>
          </w:tcPr>
          <w:p w14:paraId="347888E3" w14:textId="19FB1DA6" w:rsidR="00125439" w:rsidRPr="009739BF" w:rsidRDefault="00125439" w:rsidP="008B36C3">
            <w:pPr>
              <w:rPr>
                <w:rFonts w:ascii="FS Me" w:hAnsi="FS Me"/>
                <w:sz w:val="18"/>
                <w:szCs w:val="18"/>
                <w:lang w:val="et-EE"/>
              </w:rPr>
            </w:pPr>
            <w:r w:rsidRPr="009739BF">
              <w:rPr>
                <w:rFonts w:ascii="FS Me" w:hAnsi="FS Me"/>
                <w:sz w:val="18"/>
                <w:szCs w:val="18"/>
                <w:lang w:val="et-EE"/>
              </w:rPr>
              <w:t>Kasvuhoonegaaside koguheide</w:t>
            </w:r>
          </w:p>
        </w:tc>
        <w:tc>
          <w:tcPr>
            <w:tcW w:w="1701" w:type="dxa"/>
          </w:tcPr>
          <w:p w14:paraId="7551C306" w14:textId="068B3B36" w:rsidR="00125439" w:rsidRPr="009739BF" w:rsidRDefault="00125439" w:rsidP="008B36C3">
            <w:pPr>
              <w:rPr>
                <w:rFonts w:ascii="FS Me" w:hAnsi="FS Me"/>
                <w:sz w:val="18"/>
                <w:szCs w:val="18"/>
                <w:lang w:val="et-EE"/>
              </w:rPr>
            </w:pPr>
            <w:r w:rsidRPr="009739BF">
              <w:rPr>
                <w:rFonts w:ascii="FS Me" w:hAnsi="FS Me"/>
                <w:sz w:val="18"/>
                <w:szCs w:val="18"/>
                <w:lang w:val="et-EE"/>
              </w:rPr>
              <w:t>41 186,1 tCO</w:t>
            </w:r>
            <w:r w:rsidRPr="009739BF">
              <w:rPr>
                <w:rFonts w:ascii="FS Me" w:hAnsi="FS Me"/>
                <w:sz w:val="18"/>
                <w:szCs w:val="18"/>
                <w:vertAlign w:val="subscript"/>
                <w:lang w:val="et-EE"/>
              </w:rPr>
              <w:t>2</w:t>
            </w:r>
          </w:p>
        </w:tc>
        <w:tc>
          <w:tcPr>
            <w:tcW w:w="1701" w:type="dxa"/>
          </w:tcPr>
          <w:p w14:paraId="0F284F00" w14:textId="70E4B71F"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30 043,6 tCO</w:t>
            </w:r>
            <w:r w:rsidRPr="009739BF">
              <w:rPr>
                <w:rFonts w:ascii="FS Me" w:hAnsi="FS Me" w:cstheme="minorHAnsi"/>
                <w:sz w:val="18"/>
                <w:szCs w:val="18"/>
                <w:vertAlign w:val="subscript"/>
                <w:lang w:val="et-EE"/>
              </w:rPr>
              <w:t>2</w:t>
            </w:r>
          </w:p>
        </w:tc>
        <w:tc>
          <w:tcPr>
            <w:tcW w:w="3934" w:type="dxa"/>
            <w:vMerge/>
          </w:tcPr>
          <w:p w14:paraId="6A75516E" w14:textId="77777777" w:rsidR="00125439" w:rsidRPr="009739BF" w:rsidRDefault="00125439" w:rsidP="008B36C3">
            <w:pPr>
              <w:rPr>
                <w:rFonts w:ascii="FS Me" w:hAnsi="FS Me"/>
                <w:sz w:val="18"/>
                <w:szCs w:val="18"/>
                <w:lang w:val="et-EE"/>
              </w:rPr>
            </w:pPr>
          </w:p>
        </w:tc>
      </w:tr>
      <w:tr w:rsidR="00125439" w:rsidRPr="009739BF" w14:paraId="1FBA2E48" w14:textId="77777777" w:rsidTr="00125439">
        <w:tc>
          <w:tcPr>
            <w:tcW w:w="2185" w:type="dxa"/>
          </w:tcPr>
          <w:p w14:paraId="7620AD2E" w14:textId="77777777" w:rsidR="00125439" w:rsidRPr="009739BF" w:rsidRDefault="00125439" w:rsidP="008B36C3">
            <w:pPr>
              <w:rPr>
                <w:rFonts w:ascii="FS Me" w:hAnsi="FS Me"/>
                <w:sz w:val="18"/>
                <w:szCs w:val="18"/>
                <w:lang w:val="et-EE"/>
              </w:rPr>
            </w:pPr>
          </w:p>
        </w:tc>
        <w:tc>
          <w:tcPr>
            <w:tcW w:w="2135" w:type="dxa"/>
          </w:tcPr>
          <w:p w14:paraId="5EA0A45C" w14:textId="53D06CE1" w:rsidR="00125439" w:rsidRPr="009739BF" w:rsidRDefault="00125439" w:rsidP="008B36C3">
            <w:pPr>
              <w:rPr>
                <w:rFonts w:ascii="FS Me" w:hAnsi="FS Me"/>
                <w:sz w:val="18"/>
                <w:szCs w:val="18"/>
                <w:lang w:val="et-EE"/>
              </w:rPr>
            </w:pPr>
            <w:r w:rsidRPr="009739BF">
              <w:rPr>
                <w:rFonts w:ascii="FS Me" w:hAnsi="FS Me"/>
                <w:sz w:val="18"/>
                <w:szCs w:val="18"/>
                <w:lang w:val="et-EE"/>
              </w:rPr>
              <w:t>2. Süsinikujälg</w:t>
            </w:r>
          </w:p>
        </w:tc>
        <w:tc>
          <w:tcPr>
            <w:tcW w:w="2905" w:type="dxa"/>
          </w:tcPr>
          <w:p w14:paraId="53CE57EE" w14:textId="2C95C11D" w:rsidR="00125439" w:rsidRPr="009739BF" w:rsidRDefault="00125439" w:rsidP="008B36C3">
            <w:pPr>
              <w:rPr>
                <w:rFonts w:ascii="FS Me" w:hAnsi="FS Me"/>
                <w:sz w:val="18"/>
                <w:szCs w:val="18"/>
                <w:lang w:val="et-EE"/>
              </w:rPr>
            </w:pPr>
            <w:r w:rsidRPr="009739BF">
              <w:rPr>
                <w:rFonts w:ascii="FS Me" w:hAnsi="FS Me"/>
                <w:sz w:val="18"/>
                <w:szCs w:val="18"/>
                <w:lang w:val="et-EE"/>
              </w:rPr>
              <w:t>Süsinikujälg</w:t>
            </w:r>
          </w:p>
        </w:tc>
        <w:tc>
          <w:tcPr>
            <w:tcW w:w="1701" w:type="dxa"/>
          </w:tcPr>
          <w:p w14:paraId="4E5ACE55" w14:textId="38D7A866" w:rsidR="00125439" w:rsidRPr="009739BF" w:rsidRDefault="00125439" w:rsidP="008B36C3">
            <w:pPr>
              <w:rPr>
                <w:rFonts w:ascii="FS Me" w:hAnsi="FS Me"/>
                <w:sz w:val="18"/>
                <w:szCs w:val="18"/>
                <w:lang w:val="et-EE"/>
              </w:rPr>
            </w:pPr>
            <w:r w:rsidRPr="009739BF">
              <w:rPr>
                <w:rFonts w:ascii="FS Me" w:hAnsi="FS Me"/>
                <w:sz w:val="18"/>
                <w:szCs w:val="18"/>
                <w:lang w:val="et-EE"/>
              </w:rPr>
              <w:t>967,1 tCO</w:t>
            </w:r>
            <w:r w:rsidRPr="009739BF">
              <w:rPr>
                <w:rFonts w:ascii="FS Me" w:hAnsi="FS Me"/>
                <w:sz w:val="18"/>
                <w:szCs w:val="18"/>
                <w:vertAlign w:val="subscript"/>
                <w:lang w:val="et-EE"/>
              </w:rPr>
              <w:t>2</w:t>
            </w:r>
            <w:r w:rsidRPr="009739BF">
              <w:rPr>
                <w:rFonts w:ascii="FS Me" w:hAnsi="FS Me"/>
                <w:sz w:val="18"/>
                <w:szCs w:val="18"/>
                <w:lang w:val="et-EE"/>
              </w:rPr>
              <w:t>e/m €</w:t>
            </w:r>
          </w:p>
        </w:tc>
        <w:tc>
          <w:tcPr>
            <w:tcW w:w="1701" w:type="dxa"/>
          </w:tcPr>
          <w:p w14:paraId="2E101EA1" w14:textId="0C17BD96"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811,7 tCO</w:t>
            </w:r>
            <w:r w:rsidRPr="009739BF">
              <w:rPr>
                <w:rFonts w:ascii="FS Me" w:hAnsi="FS Me" w:cstheme="minorHAnsi"/>
                <w:sz w:val="18"/>
                <w:szCs w:val="18"/>
                <w:vertAlign w:val="subscript"/>
                <w:lang w:val="et-EE"/>
              </w:rPr>
              <w:t>2</w:t>
            </w:r>
            <w:r w:rsidRPr="009739BF">
              <w:rPr>
                <w:rFonts w:ascii="FS Me" w:hAnsi="FS Me" w:cstheme="minorHAnsi"/>
                <w:sz w:val="18"/>
                <w:szCs w:val="18"/>
                <w:lang w:val="et-EE"/>
              </w:rPr>
              <w:t>e/m €</w:t>
            </w:r>
          </w:p>
        </w:tc>
        <w:tc>
          <w:tcPr>
            <w:tcW w:w="3934" w:type="dxa"/>
            <w:vMerge/>
          </w:tcPr>
          <w:p w14:paraId="62924050" w14:textId="77777777" w:rsidR="00125439" w:rsidRPr="009739BF" w:rsidRDefault="00125439" w:rsidP="008B36C3">
            <w:pPr>
              <w:rPr>
                <w:rFonts w:ascii="FS Me" w:hAnsi="FS Me"/>
                <w:sz w:val="18"/>
                <w:szCs w:val="18"/>
                <w:lang w:val="et-EE"/>
              </w:rPr>
            </w:pPr>
          </w:p>
        </w:tc>
      </w:tr>
      <w:tr w:rsidR="00125439" w:rsidRPr="009739BF" w14:paraId="4EE5D71B" w14:textId="77777777" w:rsidTr="00125439">
        <w:tc>
          <w:tcPr>
            <w:tcW w:w="2185" w:type="dxa"/>
          </w:tcPr>
          <w:p w14:paraId="448E453D" w14:textId="77777777" w:rsidR="00125439" w:rsidRPr="009739BF" w:rsidRDefault="00125439" w:rsidP="008B36C3">
            <w:pPr>
              <w:rPr>
                <w:rFonts w:ascii="FS Me" w:hAnsi="FS Me"/>
                <w:sz w:val="18"/>
                <w:szCs w:val="18"/>
                <w:lang w:val="et-EE"/>
              </w:rPr>
            </w:pPr>
          </w:p>
        </w:tc>
        <w:tc>
          <w:tcPr>
            <w:tcW w:w="2135" w:type="dxa"/>
          </w:tcPr>
          <w:p w14:paraId="21032122" w14:textId="20E8F20B" w:rsidR="00125439" w:rsidRPr="009739BF" w:rsidRDefault="00125439" w:rsidP="008B36C3">
            <w:pPr>
              <w:rPr>
                <w:rFonts w:ascii="FS Me" w:hAnsi="FS Me"/>
                <w:sz w:val="18"/>
                <w:szCs w:val="18"/>
                <w:lang w:val="et-EE"/>
              </w:rPr>
            </w:pPr>
            <w:r w:rsidRPr="009739BF">
              <w:rPr>
                <w:rFonts w:ascii="FS Me" w:hAnsi="FS Me"/>
                <w:sz w:val="18"/>
                <w:szCs w:val="18"/>
                <w:lang w:val="et-EE"/>
              </w:rPr>
              <w:t>3. Investeerimisobjektiks olevate äriühingute kasvuhoonegaaside heitemahukus</w:t>
            </w:r>
          </w:p>
        </w:tc>
        <w:tc>
          <w:tcPr>
            <w:tcW w:w="2905" w:type="dxa"/>
          </w:tcPr>
          <w:p w14:paraId="101AE561" w14:textId="09C6E074" w:rsidR="00125439" w:rsidRPr="009739BF" w:rsidRDefault="00125439" w:rsidP="008B36C3">
            <w:pPr>
              <w:rPr>
                <w:rFonts w:ascii="FS Me" w:hAnsi="FS Me"/>
                <w:sz w:val="18"/>
                <w:szCs w:val="18"/>
                <w:lang w:val="et-EE"/>
              </w:rPr>
            </w:pPr>
            <w:r w:rsidRPr="009739BF">
              <w:rPr>
                <w:rFonts w:ascii="FS Me" w:hAnsi="FS Me"/>
                <w:sz w:val="18"/>
                <w:szCs w:val="18"/>
                <w:lang w:val="et-EE"/>
              </w:rPr>
              <w:t>Investeerimisobjektiks olevate äriühingute kasvuhoonegaaside heitemahukus</w:t>
            </w:r>
          </w:p>
        </w:tc>
        <w:tc>
          <w:tcPr>
            <w:tcW w:w="1701" w:type="dxa"/>
          </w:tcPr>
          <w:p w14:paraId="77CE8A40" w14:textId="3E4A81F3" w:rsidR="00125439" w:rsidRPr="009739BF" w:rsidRDefault="00125439" w:rsidP="008B36C3">
            <w:pPr>
              <w:rPr>
                <w:rFonts w:ascii="FS Me" w:hAnsi="FS Me"/>
                <w:sz w:val="18"/>
                <w:szCs w:val="18"/>
                <w:lang w:val="et-EE"/>
              </w:rPr>
            </w:pPr>
            <w:r w:rsidRPr="009739BF">
              <w:rPr>
                <w:rFonts w:ascii="FS Me" w:hAnsi="FS Me"/>
                <w:sz w:val="18"/>
                <w:szCs w:val="18"/>
                <w:lang w:val="et-EE"/>
              </w:rPr>
              <w:t>1879,9 tCO</w:t>
            </w:r>
            <w:r w:rsidRPr="009739BF">
              <w:rPr>
                <w:rFonts w:ascii="FS Me" w:hAnsi="FS Me"/>
                <w:sz w:val="18"/>
                <w:szCs w:val="18"/>
                <w:vertAlign w:val="subscript"/>
                <w:lang w:val="et-EE"/>
              </w:rPr>
              <w:t>2</w:t>
            </w:r>
            <w:r w:rsidRPr="009739BF">
              <w:rPr>
                <w:rFonts w:ascii="FS Me" w:hAnsi="FS Me"/>
                <w:sz w:val="18"/>
                <w:szCs w:val="18"/>
                <w:lang w:val="et-EE"/>
              </w:rPr>
              <w:t>/m €</w:t>
            </w:r>
          </w:p>
        </w:tc>
        <w:tc>
          <w:tcPr>
            <w:tcW w:w="1701" w:type="dxa"/>
          </w:tcPr>
          <w:p w14:paraId="72DE6D69" w14:textId="05D0CAD5"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1815,3 tCO</w:t>
            </w:r>
            <w:r w:rsidRPr="009739BF">
              <w:rPr>
                <w:rFonts w:ascii="FS Me" w:hAnsi="FS Me" w:cstheme="minorHAnsi"/>
                <w:sz w:val="18"/>
                <w:szCs w:val="18"/>
                <w:vertAlign w:val="subscript"/>
                <w:lang w:val="et-EE"/>
              </w:rPr>
              <w:t>2</w:t>
            </w:r>
            <w:r w:rsidRPr="009739BF">
              <w:rPr>
                <w:rFonts w:ascii="FS Me" w:hAnsi="FS Me" w:cstheme="minorHAnsi"/>
                <w:sz w:val="18"/>
                <w:szCs w:val="18"/>
                <w:lang w:val="et-EE"/>
              </w:rPr>
              <w:t>/m €</w:t>
            </w:r>
          </w:p>
        </w:tc>
        <w:tc>
          <w:tcPr>
            <w:tcW w:w="3934" w:type="dxa"/>
            <w:vMerge/>
          </w:tcPr>
          <w:p w14:paraId="72E82524" w14:textId="77777777" w:rsidR="00125439" w:rsidRPr="009739BF" w:rsidRDefault="00125439" w:rsidP="008B36C3">
            <w:pPr>
              <w:rPr>
                <w:rFonts w:ascii="FS Me" w:hAnsi="FS Me"/>
                <w:sz w:val="18"/>
                <w:szCs w:val="18"/>
                <w:lang w:val="et-EE"/>
              </w:rPr>
            </w:pPr>
          </w:p>
        </w:tc>
      </w:tr>
      <w:tr w:rsidR="00125439" w:rsidRPr="009739BF" w14:paraId="4AEE506D" w14:textId="77777777" w:rsidTr="00125439">
        <w:tc>
          <w:tcPr>
            <w:tcW w:w="2185" w:type="dxa"/>
          </w:tcPr>
          <w:p w14:paraId="58CB16DF" w14:textId="77777777" w:rsidR="00125439" w:rsidRPr="009739BF" w:rsidRDefault="00125439" w:rsidP="008B36C3">
            <w:pPr>
              <w:rPr>
                <w:rFonts w:ascii="FS Me" w:hAnsi="FS Me"/>
                <w:sz w:val="18"/>
                <w:szCs w:val="18"/>
                <w:lang w:val="et-EE"/>
              </w:rPr>
            </w:pPr>
          </w:p>
        </w:tc>
        <w:tc>
          <w:tcPr>
            <w:tcW w:w="2135" w:type="dxa"/>
          </w:tcPr>
          <w:p w14:paraId="02393B83" w14:textId="4BE4198B" w:rsidR="00125439" w:rsidRPr="009739BF" w:rsidRDefault="00125439" w:rsidP="008B36C3">
            <w:pPr>
              <w:rPr>
                <w:rFonts w:ascii="FS Me" w:hAnsi="FS Me"/>
                <w:sz w:val="18"/>
                <w:szCs w:val="18"/>
                <w:lang w:val="et-EE"/>
              </w:rPr>
            </w:pPr>
            <w:r w:rsidRPr="009739BF">
              <w:rPr>
                <w:rFonts w:ascii="FS Me" w:hAnsi="FS Me"/>
                <w:sz w:val="18"/>
                <w:szCs w:val="18"/>
                <w:lang w:val="et-EE"/>
              </w:rPr>
              <w:t>4. Kokkupuude fossiilkütusesektoris tegutsevate äriühingutega</w:t>
            </w:r>
          </w:p>
        </w:tc>
        <w:tc>
          <w:tcPr>
            <w:tcW w:w="2905" w:type="dxa"/>
          </w:tcPr>
          <w:p w14:paraId="68ACC38A" w14:textId="5D34F5CF" w:rsidR="00125439" w:rsidRPr="009739BF" w:rsidRDefault="00125439" w:rsidP="008B36C3">
            <w:pPr>
              <w:rPr>
                <w:rFonts w:ascii="FS Me" w:hAnsi="FS Me"/>
                <w:sz w:val="18"/>
                <w:szCs w:val="18"/>
                <w:lang w:val="et-EE"/>
              </w:rPr>
            </w:pPr>
            <w:r w:rsidRPr="009739BF">
              <w:rPr>
                <w:rFonts w:ascii="FS Me" w:hAnsi="FS Me"/>
                <w:sz w:val="18"/>
                <w:szCs w:val="18"/>
                <w:lang w:val="et-EE"/>
              </w:rPr>
              <w:t>Fossiilkütusesektoris tegutsevatesse äriühingutesse tehtud investeeringute osakaal</w:t>
            </w:r>
          </w:p>
        </w:tc>
        <w:tc>
          <w:tcPr>
            <w:tcW w:w="1701" w:type="dxa"/>
          </w:tcPr>
          <w:p w14:paraId="5C0FC75D" w14:textId="7D8E3EEB" w:rsidR="00125439" w:rsidRPr="009739BF" w:rsidRDefault="00125439" w:rsidP="008B36C3">
            <w:pPr>
              <w:rPr>
                <w:rFonts w:ascii="FS Me" w:hAnsi="FS Me"/>
                <w:sz w:val="18"/>
                <w:szCs w:val="18"/>
                <w:lang w:val="et-EE"/>
              </w:rPr>
            </w:pPr>
            <w:r w:rsidRPr="009739BF">
              <w:rPr>
                <w:rFonts w:ascii="FS Me" w:hAnsi="FS Me"/>
                <w:sz w:val="18"/>
                <w:szCs w:val="18"/>
                <w:lang w:val="et-EE"/>
              </w:rPr>
              <w:t>7%</w:t>
            </w:r>
          </w:p>
        </w:tc>
        <w:tc>
          <w:tcPr>
            <w:tcW w:w="1701" w:type="dxa"/>
          </w:tcPr>
          <w:p w14:paraId="46D672C1" w14:textId="7C48B91D"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13%</w:t>
            </w:r>
          </w:p>
        </w:tc>
        <w:tc>
          <w:tcPr>
            <w:tcW w:w="3934" w:type="dxa"/>
            <w:vMerge/>
          </w:tcPr>
          <w:p w14:paraId="2D199ED0" w14:textId="77777777" w:rsidR="00125439" w:rsidRPr="009739BF" w:rsidRDefault="00125439" w:rsidP="008B36C3">
            <w:pPr>
              <w:rPr>
                <w:rFonts w:ascii="FS Me" w:hAnsi="FS Me"/>
                <w:sz w:val="18"/>
                <w:szCs w:val="18"/>
                <w:lang w:val="et-EE"/>
              </w:rPr>
            </w:pPr>
          </w:p>
        </w:tc>
      </w:tr>
      <w:tr w:rsidR="00125439" w:rsidRPr="009739BF" w14:paraId="5C060EAE" w14:textId="77777777" w:rsidTr="00125439">
        <w:tc>
          <w:tcPr>
            <w:tcW w:w="2185" w:type="dxa"/>
          </w:tcPr>
          <w:p w14:paraId="3718998A" w14:textId="77777777" w:rsidR="00125439" w:rsidRPr="009739BF" w:rsidRDefault="00125439" w:rsidP="008B36C3">
            <w:pPr>
              <w:rPr>
                <w:rFonts w:ascii="FS Me" w:hAnsi="FS Me"/>
                <w:sz w:val="18"/>
                <w:szCs w:val="18"/>
                <w:lang w:val="et-EE"/>
              </w:rPr>
            </w:pPr>
          </w:p>
        </w:tc>
        <w:tc>
          <w:tcPr>
            <w:tcW w:w="2135" w:type="dxa"/>
          </w:tcPr>
          <w:p w14:paraId="45C710FC" w14:textId="11EC7CD9" w:rsidR="00125439" w:rsidRPr="009739BF" w:rsidRDefault="00125439" w:rsidP="008B36C3">
            <w:pPr>
              <w:rPr>
                <w:rFonts w:ascii="FS Me" w:hAnsi="FS Me"/>
                <w:sz w:val="18"/>
                <w:szCs w:val="18"/>
                <w:lang w:val="et-EE"/>
              </w:rPr>
            </w:pPr>
            <w:r w:rsidRPr="009739BF">
              <w:rPr>
                <w:rFonts w:ascii="FS Me" w:hAnsi="FS Me"/>
                <w:sz w:val="18"/>
                <w:szCs w:val="18"/>
                <w:lang w:val="et-EE"/>
              </w:rPr>
              <w:t>5. Taastumatu energia tarbimise ja tootmise osakaal</w:t>
            </w:r>
          </w:p>
        </w:tc>
        <w:tc>
          <w:tcPr>
            <w:tcW w:w="2905" w:type="dxa"/>
          </w:tcPr>
          <w:p w14:paraId="00E362D3" w14:textId="2B0A068C" w:rsidR="00125439" w:rsidRPr="009739BF" w:rsidRDefault="00125439" w:rsidP="008B36C3">
            <w:pPr>
              <w:rPr>
                <w:rFonts w:ascii="FS Me" w:hAnsi="FS Me"/>
                <w:sz w:val="18"/>
                <w:szCs w:val="18"/>
                <w:lang w:val="et-EE"/>
              </w:rPr>
            </w:pPr>
            <w:r w:rsidRPr="009739BF">
              <w:rPr>
                <w:rFonts w:ascii="FS Me" w:hAnsi="FS Me"/>
                <w:sz w:val="18"/>
                <w:szCs w:val="18"/>
                <w:lang w:val="et-EE"/>
              </w:rPr>
              <w:t>Investeerimisobjektiks olevate äriühingute poolt taastumatutest energiaallikatest toodetud taastumatu energia tarbimise ja tootmise osakaal võrreldes taastuvatest energiaallikatest toodetud energia tarbimise ning tootmisega, mis väljendub protsendina kõigist energiaallikatest</w:t>
            </w:r>
          </w:p>
        </w:tc>
        <w:tc>
          <w:tcPr>
            <w:tcW w:w="1701" w:type="dxa"/>
          </w:tcPr>
          <w:p w14:paraId="4118B85C" w14:textId="4686EFE5" w:rsidR="00125439" w:rsidRPr="009739BF" w:rsidRDefault="00125439" w:rsidP="008B36C3">
            <w:pPr>
              <w:rPr>
                <w:rFonts w:ascii="FS Me" w:hAnsi="FS Me"/>
                <w:sz w:val="18"/>
                <w:szCs w:val="18"/>
                <w:lang w:val="et-EE"/>
              </w:rPr>
            </w:pPr>
            <w:r w:rsidRPr="009739BF">
              <w:rPr>
                <w:rFonts w:ascii="FS Me" w:hAnsi="FS Me"/>
                <w:sz w:val="18"/>
                <w:szCs w:val="18"/>
                <w:lang w:val="et-EE"/>
              </w:rPr>
              <w:t>78%</w:t>
            </w:r>
          </w:p>
        </w:tc>
        <w:tc>
          <w:tcPr>
            <w:tcW w:w="1701" w:type="dxa"/>
          </w:tcPr>
          <w:p w14:paraId="2E52F2DF" w14:textId="4A5651D2"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79%</w:t>
            </w:r>
          </w:p>
        </w:tc>
        <w:tc>
          <w:tcPr>
            <w:tcW w:w="3934" w:type="dxa"/>
            <w:vMerge/>
          </w:tcPr>
          <w:p w14:paraId="03A49573" w14:textId="77777777" w:rsidR="00125439" w:rsidRPr="009739BF" w:rsidRDefault="00125439" w:rsidP="008B36C3">
            <w:pPr>
              <w:rPr>
                <w:rFonts w:ascii="FS Me" w:hAnsi="FS Me"/>
                <w:sz w:val="18"/>
                <w:szCs w:val="18"/>
                <w:lang w:val="et-EE"/>
              </w:rPr>
            </w:pPr>
          </w:p>
        </w:tc>
      </w:tr>
      <w:tr w:rsidR="00125439" w:rsidRPr="00705488" w14:paraId="1CB0FB5D" w14:textId="77777777" w:rsidTr="00125439">
        <w:tc>
          <w:tcPr>
            <w:tcW w:w="2185" w:type="dxa"/>
          </w:tcPr>
          <w:p w14:paraId="26AA625B" w14:textId="77777777" w:rsidR="00125439" w:rsidRPr="009739BF" w:rsidRDefault="00125439" w:rsidP="008B36C3">
            <w:pPr>
              <w:rPr>
                <w:rFonts w:ascii="FS Me" w:hAnsi="FS Me"/>
                <w:sz w:val="18"/>
                <w:szCs w:val="18"/>
                <w:lang w:val="et-EE"/>
              </w:rPr>
            </w:pPr>
          </w:p>
        </w:tc>
        <w:tc>
          <w:tcPr>
            <w:tcW w:w="2135" w:type="dxa"/>
          </w:tcPr>
          <w:p w14:paraId="718BFB8C" w14:textId="6D5B3A25" w:rsidR="00125439" w:rsidRPr="009739BF" w:rsidRDefault="00125439" w:rsidP="008B36C3">
            <w:pPr>
              <w:rPr>
                <w:rFonts w:ascii="FS Me" w:hAnsi="FS Me"/>
                <w:sz w:val="18"/>
                <w:szCs w:val="18"/>
                <w:lang w:val="et-EE"/>
              </w:rPr>
            </w:pPr>
            <w:r w:rsidRPr="009739BF">
              <w:rPr>
                <w:rFonts w:ascii="FS Me" w:hAnsi="FS Me"/>
                <w:sz w:val="18"/>
                <w:szCs w:val="18"/>
                <w:lang w:val="et-EE"/>
              </w:rPr>
              <w:t>6. Energiatarbimise intensiivsus suure mõjuga kliimasektori kohta</w:t>
            </w:r>
          </w:p>
        </w:tc>
        <w:tc>
          <w:tcPr>
            <w:tcW w:w="2905" w:type="dxa"/>
          </w:tcPr>
          <w:p w14:paraId="223E166F" w14:textId="2F9F94EE" w:rsidR="00125439" w:rsidRPr="009739BF" w:rsidRDefault="00125439" w:rsidP="008B36C3">
            <w:pPr>
              <w:rPr>
                <w:rFonts w:ascii="FS Me" w:hAnsi="FS Me"/>
                <w:sz w:val="18"/>
                <w:szCs w:val="18"/>
                <w:lang w:val="et-EE"/>
              </w:rPr>
            </w:pPr>
            <w:r w:rsidRPr="009739BF">
              <w:rPr>
                <w:rFonts w:ascii="FS Me" w:hAnsi="FS Me"/>
                <w:sz w:val="18"/>
                <w:szCs w:val="18"/>
                <w:lang w:val="et-EE"/>
              </w:rPr>
              <w:t>Investeerimisobjektiks olevate äriühingute energiatarbimine gigavatt-tundides (</w:t>
            </w:r>
            <w:proofErr w:type="spellStart"/>
            <w:r w:rsidRPr="009739BF">
              <w:rPr>
                <w:rFonts w:ascii="FS Me" w:hAnsi="FS Me"/>
                <w:sz w:val="18"/>
                <w:szCs w:val="18"/>
                <w:lang w:val="et-EE"/>
              </w:rPr>
              <w:t>GWh</w:t>
            </w:r>
            <w:proofErr w:type="spellEnd"/>
            <w:r w:rsidRPr="009739BF">
              <w:rPr>
                <w:rFonts w:ascii="FS Me" w:hAnsi="FS Me"/>
                <w:sz w:val="18"/>
                <w:szCs w:val="18"/>
                <w:lang w:val="et-EE"/>
              </w:rPr>
              <w:t xml:space="preserve">) miljoni euro </w:t>
            </w:r>
            <w:r w:rsidRPr="009739BF">
              <w:rPr>
                <w:rFonts w:ascii="FS Me" w:hAnsi="FS Me"/>
                <w:sz w:val="18"/>
                <w:szCs w:val="18"/>
                <w:lang w:val="et-EE"/>
              </w:rPr>
              <w:lastRenderedPageBreak/>
              <w:t>suuruse tulu kohta igas suure mõjuga kliimasektoris</w:t>
            </w:r>
          </w:p>
        </w:tc>
        <w:tc>
          <w:tcPr>
            <w:tcW w:w="1701" w:type="dxa"/>
          </w:tcPr>
          <w:p w14:paraId="1F3246EF" w14:textId="49A3DC7A" w:rsidR="00125439" w:rsidRPr="009739BF" w:rsidRDefault="00125439" w:rsidP="008B36C3">
            <w:pPr>
              <w:rPr>
                <w:rFonts w:ascii="FS Me" w:hAnsi="FS Me"/>
                <w:sz w:val="18"/>
                <w:szCs w:val="18"/>
                <w:lang w:val="et-EE"/>
              </w:rPr>
            </w:pPr>
          </w:p>
        </w:tc>
        <w:tc>
          <w:tcPr>
            <w:tcW w:w="1701" w:type="dxa"/>
          </w:tcPr>
          <w:p w14:paraId="42EF5B71" w14:textId="2D9669BC" w:rsidR="00125439" w:rsidRPr="009739BF" w:rsidRDefault="00125439" w:rsidP="008B36C3">
            <w:pPr>
              <w:rPr>
                <w:rFonts w:ascii="FS Me" w:hAnsi="FS Me"/>
                <w:sz w:val="18"/>
                <w:szCs w:val="18"/>
                <w:lang w:val="et-EE"/>
              </w:rPr>
            </w:pPr>
          </w:p>
        </w:tc>
        <w:tc>
          <w:tcPr>
            <w:tcW w:w="3934" w:type="dxa"/>
            <w:vMerge/>
          </w:tcPr>
          <w:p w14:paraId="0B9CE2AF" w14:textId="77777777" w:rsidR="00125439" w:rsidRPr="009739BF" w:rsidRDefault="00125439" w:rsidP="008B36C3">
            <w:pPr>
              <w:rPr>
                <w:rFonts w:ascii="FS Me" w:hAnsi="FS Me"/>
                <w:sz w:val="18"/>
                <w:szCs w:val="18"/>
                <w:lang w:val="et-EE"/>
              </w:rPr>
            </w:pPr>
          </w:p>
        </w:tc>
      </w:tr>
      <w:tr w:rsidR="00125439" w:rsidRPr="009739BF" w14:paraId="11E720FC" w14:textId="77777777" w:rsidTr="00125439">
        <w:tc>
          <w:tcPr>
            <w:tcW w:w="2185" w:type="dxa"/>
          </w:tcPr>
          <w:p w14:paraId="330F3993" w14:textId="77777777" w:rsidR="00125439" w:rsidRPr="009739BF" w:rsidRDefault="00125439" w:rsidP="008B36C3">
            <w:pPr>
              <w:rPr>
                <w:rFonts w:ascii="FS Me" w:hAnsi="FS Me"/>
                <w:sz w:val="18"/>
                <w:szCs w:val="18"/>
                <w:lang w:val="et-EE"/>
              </w:rPr>
            </w:pPr>
          </w:p>
        </w:tc>
        <w:tc>
          <w:tcPr>
            <w:tcW w:w="2135" w:type="dxa"/>
          </w:tcPr>
          <w:p w14:paraId="6A208FCC" w14:textId="77777777" w:rsidR="00125439" w:rsidRPr="009739BF" w:rsidRDefault="00125439" w:rsidP="008B36C3">
            <w:pPr>
              <w:rPr>
                <w:rFonts w:ascii="FS Me" w:hAnsi="FS Me"/>
                <w:sz w:val="18"/>
                <w:szCs w:val="18"/>
                <w:lang w:val="et-EE"/>
              </w:rPr>
            </w:pPr>
          </w:p>
        </w:tc>
        <w:tc>
          <w:tcPr>
            <w:tcW w:w="2905" w:type="dxa"/>
          </w:tcPr>
          <w:p w14:paraId="7E396550" w14:textId="607E8A02" w:rsidR="00125439" w:rsidRPr="009739BF" w:rsidRDefault="00125439" w:rsidP="008B36C3">
            <w:pPr>
              <w:rPr>
                <w:rFonts w:ascii="FS Me" w:hAnsi="FS Me"/>
                <w:sz w:val="18"/>
                <w:szCs w:val="18"/>
                <w:lang w:val="et-EE"/>
              </w:rPr>
            </w:pPr>
            <w:r w:rsidRPr="009739BF">
              <w:rPr>
                <w:rFonts w:ascii="FS Me" w:hAnsi="FS Me"/>
                <w:sz w:val="18"/>
                <w:szCs w:val="18"/>
                <w:lang w:val="et-EE"/>
              </w:rPr>
              <w:t>Sektor A</w:t>
            </w:r>
          </w:p>
        </w:tc>
        <w:tc>
          <w:tcPr>
            <w:tcW w:w="1701" w:type="dxa"/>
          </w:tcPr>
          <w:p w14:paraId="7AF0B6F4" w14:textId="0C95763D"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0,0</w:t>
            </w:r>
          </w:p>
        </w:tc>
        <w:tc>
          <w:tcPr>
            <w:tcW w:w="1701" w:type="dxa"/>
          </w:tcPr>
          <w:p w14:paraId="7FA7A972" w14:textId="13205901"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0,0</w:t>
            </w:r>
          </w:p>
        </w:tc>
        <w:tc>
          <w:tcPr>
            <w:tcW w:w="3934" w:type="dxa"/>
            <w:vMerge/>
          </w:tcPr>
          <w:p w14:paraId="03EF644A" w14:textId="77777777" w:rsidR="00125439" w:rsidRPr="009739BF" w:rsidRDefault="00125439" w:rsidP="008B36C3">
            <w:pPr>
              <w:rPr>
                <w:rFonts w:ascii="FS Me" w:hAnsi="FS Me"/>
                <w:sz w:val="18"/>
                <w:szCs w:val="18"/>
                <w:lang w:val="et-EE"/>
              </w:rPr>
            </w:pPr>
          </w:p>
        </w:tc>
      </w:tr>
      <w:tr w:rsidR="00125439" w:rsidRPr="009739BF" w14:paraId="1BC31409" w14:textId="77777777" w:rsidTr="00125439">
        <w:tc>
          <w:tcPr>
            <w:tcW w:w="2185" w:type="dxa"/>
          </w:tcPr>
          <w:p w14:paraId="57830237" w14:textId="77777777" w:rsidR="00125439" w:rsidRPr="009739BF" w:rsidRDefault="00125439" w:rsidP="008B36C3">
            <w:pPr>
              <w:rPr>
                <w:rFonts w:ascii="FS Me" w:hAnsi="FS Me"/>
                <w:sz w:val="18"/>
                <w:szCs w:val="18"/>
                <w:lang w:val="et-EE"/>
              </w:rPr>
            </w:pPr>
          </w:p>
        </w:tc>
        <w:tc>
          <w:tcPr>
            <w:tcW w:w="2135" w:type="dxa"/>
          </w:tcPr>
          <w:p w14:paraId="57F8E2D4" w14:textId="77777777" w:rsidR="00125439" w:rsidRPr="009739BF" w:rsidRDefault="00125439" w:rsidP="008B36C3">
            <w:pPr>
              <w:rPr>
                <w:rFonts w:ascii="FS Me" w:hAnsi="FS Me"/>
                <w:sz w:val="18"/>
                <w:szCs w:val="18"/>
                <w:lang w:val="et-EE"/>
              </w:rPr>
            </w:pPr>
          </w:p>
        </w:tc>
        <w:tc>
          <w:tcPr>
            <w:tcW w:w="2905" w:type="dxa"/>
          </w:tcPr>
          <w:p w14:paraId="0222B99C" w14:textId="78F145BB" w:rsidR="00125439" w:rsidRPr="009739BF" w:rsidRDefault="00125439" w:rsidP="008B36C3">
            <w:pPr>
              <w:rPr>
                <w:rFonts w:ascii="FS Me" w:hAnsi="FS Me"/>
                <w:sz w:val="18"/>
                <w:szCs w:val="18"/>
                <w:lang w:val="et-EE"/>
              </w:rPr>
            </w:pPr>
            <w:r w:rsidRPr="009739BF">
              <w:rPr>
                <w:rFonts w:ascii="FS Me" w:hAnsi="FS Me"/>
                <w:sz w:val="18"/>
                <w:szCs w:val="18"/>
                <w:lang w:val="et-EE"/>
              </w:rPr>
              <w:t>Sektor B</w:t>
            </w:r>
          </w:p>
        </w:tc>
        <w:tc>
          <w:tcPr>
            <w:tcW w:w="1701" w:type="dxa"/>
          </w:tcPr>
          <w:p w14:paraId="093739F1" w14:textId="734DC1B2"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0,0</w:t>
            </w:r>
          </w:p>
        </w:tc>
        <w:tc>
          <w:tcPr>
            <w:tcW w:w="1701" w:type="dxa"/>
          </w:tcPr>
          <w:p w14:paraId="26B682BC" w14:textId="5B032ED6"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0,0</w:t>
            </w:r>
          </w:p>
        </w:tc>
        <w:tc>
          <w:tcPr>
            <w:tcW w:w="3934" w:type="dxa"/>
            <w:vMerge/>
          </w:tcPr>
          <w:p w14:paraId="2DA7DC81" w14:textId="77777777" w:rsidR="00125439" w:rsidRPr="009739BF" w:rsidRDefault="00125439" w:rsidP="008B36C3">
            <w:pPr>
              <w:rPr>
                <w:rFonts w:ascii="FS Me" w:hAnsi="FS Me"/>
                <w:sz w:val="18"/>
                <w:szCs w:val="18"/>
                <w:lang w:val="et-EE"/>
              </w:rPr>
            </w:pPr>
          </w:p>
        </w:tc>
      </w:tr>
      <w:tr w:rsidR="00125439" w:rsidRPr="009739BF" w14:paraId="36B768E9" w14:textId="77777777" w:rsidTr="00125439">
        <w:tc>
          <w:tcPr>
            <w:tcW w:w="2185" w:type="dxa"/>
          </w:tcPr>
          <w:p w14:paraId="724E478E" w14:textId="77777777" w:rsidR="00125439" w:rsidRPr="009739BF" w:rsidRDefault="00125439" w:rsidP="008B36C3">
            <w:pPr>
              <w:rPr>
                <w:rFonts w:ascii="FS Me" w:hAnsi="FS Me"/>
                <w:sz w:val="18"/>
                <w:szCs w:val="18"/>
                <w:lang w:val="et-EE"/>
              </w:rPr>
            </w:pPr>
          </w:p>
        </w:tc>
        <w:tc>
          <w:tcPr>
            <w:tcW w:w="2135" w:type="dxa"/>
          </w:tcPr>
          <w:p w14:paraId="401C0740" w14:textId="77777777" w:rsidR="00125439" w:rsidRPr="009739BF" w:rsidRDefault="00125439" w:rsidP="008B36C3">
            <w:pPr>
              <w:rPr>
                <w:rFonts w:ascii="FS Me" w:hAnsi="FS Me"/>
                <w:sz w:val="18"/>
                <w:szCs w:val="18"/>
                <w:lang w:val="et-EE"/>
              </w:rPr>
            </w:pPr>
          </w:p>
        </w:tc>
        <w:tc>
          <w:tcPr>
            <w:tcW w:w="2905" w:type="dxa"/>
          </w:tcPr>
          <w:p w14:paraId="0E4EF50D" w14:textId="032C42BF" w:rsidR="00125439" w:rsidRPr="009739BF" w:rsidRDefault="00125439" w:rsidP="008B36C3">
            <w:pPr>
              <w:rPr>
                <w:rFonts w:ascii="FS Me" w:hAnsi="FS Me"/>
                <w:sz w:val="18"/>
                <w:szCs w:val="18"/>
                <w:lang w:val="et-EE"/>
              </w:rPr>
            </w:pPr>
            <w:r w:rsidRPr="009739BF">
              <w:rPr>
                <w:rFonts w:ascii="FS Me" w:hAnsi="FS Me"/>
                <w:sz w:val="18"/>
                <w:szCs w:val="18"/>
                <w:lang w:val="et-EE"/>
              </w:rPr>
              <w:t>Sektor C</w:t>
            </w:r>
          </w:p>
        </w:tc>
        <w:tc>
          <w:tcPr>
            <w:tcW w:w="1701" w:type="dxa"/>
          </w:tcPr>
          <w:p w14:paraId="061B9C30" w14:textId="47BDBD05"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0,2</w:t>
            </w:r>
          </w:p>
        </w:tc>
        <w:tc>
          <w:tcPr>
            <w:tcW w:w="1701" w:type="dxa"/>
          </w:tcPr>
          <w:p w14:paraId="6C439435" w14:textId="2428BFC8"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0,1</w:t>
            </w:r>
          </w:p>
        </w:tc>
        <w:tc>
          <w:tcPr>
            <w:tcW w:w="3934" w:type="dxa"/>
            <w:vMerge/>
          </w:tcPr>
          <w:p w14:paraId="5D8E49F0" w14:textId="77777777" w:rsidR="00125439" w:rsidRPr="009739BF" w:rsidRDefault="00125439" w:rsidP="008B36C3">
            <w:pPr>
              <w:rPr>
                <w:rFonts w:ascii="FS Me" w:hAnsi="FS Me"/>
                <w:sz w:val="18"/>
                <w:szCs w:val="18"/>
                <w:lang w:val="et-EE"/>
              </w:rPr>
            </w:pPr>
          </w:p>
        </w:tc>
      </w:tr>
      <w:tr w:rsidR="00125439" w:rsidRPr="009739BF" w14:paraId="113A3CF9" w14:textId="77777777" w:rsidTr="00125439">
        <w:tc>
          <w:tcPr>
            <w:tcW w:w="2185" w:type="dxa"/>
          </w:tcPr>
          <w:p w14:paraId="6A5B3581" w14:textId="77777777" w:rsidR="00125439" w:rsidRPr="009739BF" w:rsidRDefault="00125439" w:rsidP="008B36C3">
            <w:pPr>
              <w:rPr>
                <w:rFonts w:ascii="FS Me" w:hAnsi="FS Me"/>
                <w:sz w:val="18"/>
                <w:szCs w:val="18"/>
                <w:lang w:val="et-EE"/>
              </w:rPr>
            </w:pPr>
          </w:p>
        </w:tc>
        <w:tc>
          <w:tcPr>
            <w:tcW w:w="2135" w:type="dxa"/>
          </w:tcPr>
          <w:p w14:paraId="482094A4" w14:textId="77777777" w:rsidR="00125439" w:rsidRPr="009739BF" w:rsidRDefault="00125439" w:rsidP="008B36C3">
            <w:pPr>
              <w:rPr>
                <w:rFonts w:ascii="FS Me" w:hAnsi="FS Me"/>
                <w:sz w:val="18"/>
                <w:szCs w:val="18"/>
                <w:lang w:val="et-EE"/>
              </w:rPr>
            </w:pPr>
          </w:p>
        </w:tc>
        <w:tc>
          <w:tcPr>
            <w:tcW w:w="2905" w:type="dxa"/>
          </w:tcPr>
          <w:p w14:paraId="24F33E4F" w14:textId="044F574D" w:rsidR="00125439" w:rsidRPr="009739BF" w:rsidRDefault="00125439" w:rsidP="008B36C3">
            <w:pPr>
              <w:rPr>
                <w:rFonts w:ascii="FS Me" w:hAnsi="FS Me"/>
                <w:sz w:val="18"/>
                <w:szCs w:val="18"/>
                <w:lang w:val="et-EE"/>
              </w:rPr>
            </w:pPr>
            <w:r w:rsidRPr="009739BF">
              <w:rPr>
                <w:rFonts w:ascii="FS Me" w:hAnsi="FS Me"/>
                <w:sz w:val="18"/>
                <w:szCs w:val="18"/>
                <w:lang w:val="et-EE"/>
              </w:rPr>
              <w:t>Sektor D</w:t>
            </w:r>
          </w:p>
        </w:tc>
        <w:tc>
          <w:tcPr>
            <w:tcW w:w="1701" w:type="dxa"/>
          </w:tcPr>
          <w:p w14:paraId="22AA114D" w14:textId="5FE1921B"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0,1</w:t>
            </w:r>
          </w:p>
        </w:tc>
        <w:tc>
          <w:tcPr>
            <w:tcW w:w="1701" w:type="dxa"/>
          </w:tcPr>
          <w:p w14:paraId="71667E14" w14:textId="24260D3A"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1,1</w:t>
            </w:r>
          </w:p>
        </w:tc>
        <w:tc>
          <w:tcPr>
            <w:tcW w:w="3934" w:type="dxa"/>
            <w:vMerge/>
          </w:tcPr>
          <w:p w14:paraId="02B26786" w14:textId="77777777" w:rsidR="00125439" w:rsidRPr="009739BF" w:rsidRDefault="00125439" w:rsidP="008B36C3">
            <w:pPr>
              <w:rPr>
                <w:rFonts w:ascii="FS Me" w:hAnsi="FS Me"/>
                <w:sz w:val="18"/>
                <w:szCs w:val="18"/>
                <w:lang w:val="et-EE"/>
              </w:rPr>
            </w:pPr>
          </w:p>
        </w:tc>
      </w:tr>
      <w:tr w:rsidR="00125439" w:rsidRPr="009739BF" w14:paraId="646828DE" w14:textId="77777777" w:rsidTr="00125439">
        <w:tc>
          <w:tcPr>
            <w:tcW w:w="2185" w:type="dxa"/>
          </w:tcPr>
          <w:p w14:paraId="5F37701B" w14:textId="77777777" w:rsidR="00125439" w:rsidRPr="009739BF" w:rsidRDefault="00125439" w:rsidP="008B36C3">
            <w:pPr>
              <w:rPr>
                <w:rFonts w:ascii="FS Me" w:hAnsi="FS Me"/>
                <w:sz w:val="18"/>
                <w:szCs w:val="18"/>
                <w:lang w:val="et-EE"/>
              </w:rPr>
            </w:pPr>
          </w:p>
        </w:tc>
        <w:tc>
          <w:tcPr>
            <w:tcW w:w="2135" w:type="dxa"/>
          </w:tcPr>
          <w:p w14:paraId="6CD4A588" w14:textId="77777777" w:rsidR="00125439" w:rsidRPr="009739BF" w:rsidRDefault="00125439" w:rsidP="008B36C3">
            <w:pPr>
              <w:rPr>
                <w:rFonts w:ascii="FS Me" w:hAnsi="FS Me"/>
                <w:sz w:val="18"/>
                <w:szCs w:val="18"/>
                <w:lang w:val="et-EE"/>
              </w:rPr>
            </w:pPr>
          </w:p>
        </w:tc>
        <w:tc>
          <w:tcPr>
            <w:tcW w:w="2905" w:type="dxa"/>
          </w:tcPr>
          <w:p w14:paraId="34DF378F" w14:textId="7273DD40" w:rsidR="00125439" w:rsidRPr="009739BF" w:rsidRDefault="00125439" w:rsidP="008B36C3">
            <w:pPr>
              <w:rPr>
                <w:rFonts w:ascii="FS Me" w:hAnsi="FS Me"/>
                <w:sz w:val="18"/>
                <w:szCs w:val="18"/>
                <w:lang w:val="et-EE"/>
              </w:rPr>
            </w:pPr>
            <w:r w:rsidRPr="009739BF">
              <w:rPr>
                <w:rFonts w:ascii="FS Me" w:hAnsi="FS Me"/>
                <w:sz w:val="18"/>
                <w:szCs w:val="18"/>
                <w:lang w:val="et-EE"/>
              </w:rPr>
              <w:t>Sektor E</w:t>
            </w:r>
          </w:p>
        </w:tc>
        <w:tc>
          <w:tcPr>
            <w:tcW w:w="1701" w:type="dxa"/>
          </w:tcPr>
          <w:p w14:paraId="72634B2D" w14:textId="341AC339"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0,0</w:t>
            </w:r>
          </w:p>
        </w:tc>
        <w:tc>
          <w:tcPr>
            <w:tcW w:w="1701" w:type="dxa"/>
          </w:tcPr>
          <w:p w14:paraId="66480291" w14:textId="62D6360C"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0,0</w:t>
            </w:r>
          </w:p>
        </w:tc>
        <w:tc>
          <w:tcPr>
            <w:tcW w:w="3934" w:type="dxa"/>
            <w:vMerge/>
          </w:tcPr>
          <w:p w14:paraId="14323000" w14:textId="77777777" w:rsidR="00125439" w:rsidRPr="009739BF" w:rsidRDefault="00125439" w:rsidP="008B36C3">
            <w:pPr>
              <w:rPr>
                <w:rFonts w:ascii="FS Me" w:hAnsi="FS Me"/>
                <w:sz w:val="18"/>
                <w:szCs w:val="18"/>
                <w:lang w:val="et-EE"/>
              </w:rPr>
            </w:pPr>
          </w:p>
        </w:tc>
      </w:tr>
      <w:tr w:rsidR="00125439" w:rsidRPr="009739BF" w14:paraId="76619D8D" w14:textId="77777777" w:rsidTr="00125439">
        <w:tc>
          <w:tcPr>
            <w:tcW w:w="2185" w:type="dxa"/>
          </w:tcPr>
          <w:p w14:paraId="5F8F9BAB" w14:textId="77777777" w:rsidR="00125439" w:rsidRPr="009739BF" w:rsidRDefault="00125439" w:rsidP="008B36C3">
            <w:pPr>
              <w:rPr>
                <w:rFonts w:ascii="FS Me" w:hAnsi="FS Me"/>
                <w:sz w:val="18"/>
                <w:szCs w:val="18"/>
                <w:lang w:val="et-EE"/>
              </w:rPr>
            </w:pPr>
          </w:p>
        </w:tc>
        <w:tc>
          <w:tcPr>
            <w:tcW w:w="2135" w:type="dxa"/>
          </w:tcPr>
          <w:p w14:paraId="2353D361" w14:textId="77777777" w:rsidR="00125439" w:rsidRPr="009739BF" w:rsidRDefault="00125439" w:rsidP="008B36C3">
            <w:pPr>
              <w:rPr>
                <w:rFonts w:ascii="FS Me" w:hAnsi="FS Me"/>
                <w:sz w:val="18"/>
                <w:szCs w:val="18"/>
                <w:lang w:val="et-EE"/>
              </w:rPr>
            </w:pPr>
          </w:p>
        </w:tc>
        <w:tc>
          <w:tcPr>
            <w:tcW w:w="2905" w:type="dxa"/>
          </w:tcPr>
          <w:p w14:paraId="61E0E510" w14:textId="0E0B3DF0" w:rsidR="00125439" w:rsidRPr="009739BF" w:rsidRDefault="00125439" w:rsidP="008B36C3">
            <w:pPr>
              <w:rPr>
                <w:rFonts w:ascii="FS Me" w:hAnsi="FS Me"/>
                <w:sz w:val="18"/>
                <w:szCs w:val="18"/>
                <w:lang w:val="et-EE"/>
              </w:rPr>
            </w:pPr>
            <w:r w:rsidRPr="009739BF">
              <w:rPr>
                <w:rFonts w:ascii="FS Me" w:hAnsi="FS Me"/>
                <w:sz w:val="18"/>
                <w:szCs w:val="18"/>
                <w:lang w:val="et-EE"/>
              </w:rPr>
              <w:t>Sektor F</w:t>
            </w:r>
          </w:p>
        </w:tc>
        <w:tc>
          <w:tcPr>
            <w:tcW w:w="1701" w:type="dxa"/>
          </w:tcPr>
          <w:p w14:paraId="0BC072D4" w14:textId="46743EA3"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0,0</w:t>
            </w:r>
          </w:p>
        </w:tc>
        <w:tc>
          <w:tcPr>
            <w:tcW w:w="1701" w:type="dxa"/>
          </w:tcPr>
          <w:p w14:paraId="7101E496" w14:textId="4EE44B3E"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0,0</w:t>
            </w:r>
          </w:p>
        </w:tc>
        <w:tc>
          <w:tcPr>
            <w:tcW w:w="3934" w:type="dxa"/>
            <w:vMerge/>
          </w:tcPr>
          <w:p w14:paraId="763BFCE4" w14:textId="77777777" w:rsidR="00125439" w:rsidRPr="009739BF" w:rsidRDefault="00125439" w:rsidP="008B36C3">
            <w:pPr>
              <w:rPr>
                <w:rFonts w:ascii="FS Me" w:hAnsi="FS Me"/>
                <w:sz w:val="18"/>
                <w:szCs w:val="18"/>
                <w:lang w:val="et-EE"/>
              </w:rPr>
            </w:pPr>
          </w:p>
        </w:tc>
      </w:tr>
      <w:tr w:rsidR="00125439" w:rsidRPr="009739BF" w14:paraId="722CD269" w14:textId="77777777" w:rsidTr="00125439">
        <w:tc>
          <w:tcPr>
            <w:tcW w:w="2185" w:type="dxa"/>
          </w:tcPr>
          <w:p w14:paraId="05593D2A" w14:textId="77777777" w:rsidR="00125439" w:rsidRPr="009739BF" w:rsidRDefault="00125439" w:rsidP="008B36C3">
            <w:pPr>
              <w:rPr>
                <w:rFonts w:ascii="FS Me" w:hAnsi="FS Me"/>
                <w:sz w:val="18"/>
                <w:szCs w:val="18"/>
                <w:lang w:val="et-EE"/>
              </w:rPr>
            </w:pPr>
          </w:p>
        </w:tc>
        <w:tc>
          <w:tcPr>
            <w:tcW w:w="2135" w:type="dxa"/>
          </w:tcPr>
          <w:p w14:paraId="4B8C2735" w14:textId="77777777" w:rsidR="00125439" w:rsidRPr="009739BF" w:rsidRDefault="00125439" w:rsidP="008B36C3">
            <w:pPr>
              <w:rPr>
                <w:rFonts w:ascii="FS Me" w:hAnsi="FS Me"/>
                <w:sz w:val="18"/>
                <w:szCs w:val="18"/>
                <w:lang w:val="et-EE"/>
              </w:rPr>
            </w:pPr>
          </w:p>
        </w:tc>
        <w:tc>
          <w:tcPr>
            <w:tcW w:w="2905" w:type="dxa"/>
          </w:tcPr>
          <w:p w14:paraId="5AC909DF" w14:textId="59373CF4" w:rsidR="00125439" w:rsidRPr="009739BF" w:rsidRDefault="00125439" w:rsidP="008B36C3">
            <w:pPr>
              <w:rPr>
                <w:rFonts w:ascii="FS Me" w:hAnsi="FS Me"/>
                <w:sz w:val="18"/>
                <w:szCs w:val="18"/>
                <w:lang w:val="et-EE"/>
              </w:rPr>
            </w:pPr>
            <w:r w:rsidRPr="009739BF">
              <w:rPr>
                <w:rFonts w:ascii="FS Me" w:hAnsi="FS Me"/>
                <w:sz w:val="18"/>
                <w:szCs w:val="18"/>
                <w:lang w:val="et-EE"/>
              </w:rPr>
              <w:t>Sektor G</w:t>
            </w:r>
          </w:p>
        </w:tc>
        <w:tc>
          <w:tcPr>
            <w:tcW w:w="1701" w:type="dxa"/>
          </w:tcPr>
          <w:p w14:paraId="6D8CA63F" w14:textId="62B05778"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0,0</w:t>
            </w:r>
          </w:p>
        </w:tc>
        <w:tc>
          <w:tcPr>
            <w:tcW w:w="1701" w:type="dxa"/>
          </w:tcPr>
          <w:p w14:paraId="47D2B0DA" w14:textId="27275E0B"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0,0</w:t>
            </w:r>
          </w:p>
        </w:tc>
        <w:tc>
          <w:tcPr>
            <w:tcW w:w="3934" w:type="dxa"/>
            <w:vMerge/>
          </w:tcPr>
          <w:p w14:paraId="7E49D993" w14:textId="77777777" w:rsidR="00125439" w:rsidRPr="009739BF" w:rsidRDefault="00125439" w:rsidP="008B36C3">
            <w:pPr>
              <w:rPr>
                <w:rFonts w:ascii="FS Me" w:hAnsi="FS Me"/>
                <w:sz w:val="18"/>
                <w:szCs w:val="18"/>
                <w:lang w:val="et-EE"/>
              </w:rPr>
            </w:pPr>
          </w:p>
        </w:tc>
      </w:tr>
      <w:tr w:rsidR="00125439" w:rsidRPr="009739BF" w14:paraId="4A50EFD1" w14:textId="77777777" w:rsidTr="00125439">
        <w:tc>
          <w:tcPr>
            <w:tcW w:w="2185" w:type="dxa"/>
          </w:tcPr>
          <w:p w14:paraId="507E9758" w14:textId="77777777" w:rsidR="00125439" w:rsidRPr="009739BF" w:rsidRDefault="00125439" w:rsidP="008B36C3">
            <w:pPr>
              <w:rPr>
                <w:rFonts w:ascii="FS Me" w:hAnsi="FS Me"/>
                <w:sz w:val="18"/>
                <w:szCs w:val="18"/>
                <w:lang w:val="et-EE"/>
              </w:rPr>
            </w:pPr>
          </w:p>
        </w:tc>
        <w:tc>
          <w:tcPr>
            <w:tcW w:w="2135" w:type="dxa"/>
          </w:tcPr>
          <w:p w14:paraId="2380F405" w14:textId="77777777" w:rsidR="00125439" w:rsidRPr="009739BF" w:rsidRDefault="00125439" w:rsidP="008B36C3">
            <w:pPr>
              <w:rPr>
                <w:rFonts w:ascii="FS Me" w:hAnsi="FS Me"/>
                <w:sz w:val="18"/>
                <w:szCs w:val="18"/>
                <w:lang w:val="et-EE"/>
              </w:rPr>
            </w:pPr>
          </w:p>
        </w:tc>
        <w:tc>
          <w:tcPr>
            <w:tcW w:w="2905" w:type="dxa"/>
          </w:tcPr>
          <w:p w14:paraId="251E309F" w14:textId="41006961" w:rsidR="00125439" w:rsidRPr="009739BF" w:rsidRDefault="00125439" w:rsidP="008B36C3">
            <w:pPr>
              <w:rPr>
                <w:rFonts w:ascii="FS Me" w:hAnsi="FS Me"/>
                <w:sz w:val="18"/>
                <w:szCs w:val="18"/>
                <w:lang w:val="et-EE"/>
              </w:rPr>
            </w:pPr>
            <w:r w:rsidRPr="009739BF">
              <w:rPr>
                <w:rFonts w:ascii="FS Me" w:hAnsi="FS Me"/>
                <w:sz w:val="18"/>
                <w:szCs w:val="18"/>
                <w:lang w:val="et-EE"/>
              </w:rPr>
              <w:t>Sektor H</w:t>
            </w:r>
          </w:p>
        </w:tc>
        <w:tc>
          <w:tcPr>
            <w:tcW w:w="1701" w:type="dxa"/>
          </w:tcPr>
          <w:p w14:paraId="123BFE35" w14:textId="22137C2A"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0,7</w:t>
            </w:r>
          </w:p>
        </w:tc>
        <w:tc>
          <w:tcPr>
            <w:tcW w:w="1701" w:type="dxa"/>
          </w:tcPr>
          <w:p w14:paraId="229404CF" w14:textId="2C4FA1A4"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0,9</w:t>
            </w:r>
          </w:p>
        </w:tc>
        <w:tc>
          <w:tcPr>
            <w:tcW w:w="3934" w:type="dxa"/>
            <w:vMerge/>
          </w:tcPr>
          <w:p w14:paraId="6080DAA6" w14:textId="77777777" w:rsidR="00125439" w:rsidRPr="009739BF" w:rsidRDefault="00125439" w:rsidP="008B36C3">
            <w:pPr>
              <w:rPr>
                <w:rFonts w:ascii="FS Me" w:hAnsi="FS Me"/>
                <w:sz w:val="18"/>
                <w:szCs w:val="18"/>
                <w:lang w:val="et-EE"/>
              </w:rPr>
            </w:pPr>
          </w:p>
        </w:tc>
      </w:tr>
      <w:tr w:rsidR="00125439" w:rsidRPr="009739BF" w14:paraId="585C4EF2" w14:textId="77777777" w:rsidTr="00125439">
        <w:tc>
          <w:tcPr>
            <w:tcW w:w="2185" w:type="dxa"/>
          </w:tcPr>
          <w:p w14:paraId="1F000D56" w14:textId="77777777" w:rsidR="00125439" w:rsidRPr="009739BF" w:rsidRDefault="00125439" w:rsidP="008B36C3">
            <w:pPr>
              <w:rPr>
                <w:rFonts w:ascii="FS Me" w:hAnsi="FS Me"/>
                <w:sz w:val="18"/>
                <w:szCs w:val="18"/>
                <w:lang w:val="et-EE"/>
              </w:rPr>
            </w:pPr>
          </w:p>
        </w:tc>
        <w:tc>
          <w:tcPr>
            <w:tcW w:w="2135" w:type="dxa"/>
          </w:tcPr>
          <w:p w14:paraId="600C4EBE" w14:textId="77777777" w:rsidR="00125439" w:rsidRPr="009739BF" w:rsidRDefault="00125439" w:rsidP="008B36C3">
            <w:pPr>
              <w:rPr>
                <w:rFonts w:ascii="FS Me" w:hAnsi="FS Me"/>
                <w:sz w:val="18"/>
                <w:szCs w:val="18"/>
                <w:lang w:val="et-EE"/>
              </w:rPr>
            </w:pPr>
          </w:p>
        </w:tc>
        <w:tc>
          <w:tcPr>
            <w:tcW w:w="2905" w:type="dxa"/>
          </w:tcPr>
          <w:p w14:paraId="5335B932" w14:textId="5E55DE22" w:rsidR="00125439" w:rsidRPr="009739BF" w:rsidRDefault="00125439" w:rsidP="008B36C3">
            <w:pPr>
              <w:rPr>
                <w:rFonts w:ascii="FS Me" w:hAnsi="FS Me"/>
                <w:sz w:val="18"/>
                <w:szCs w:val="18"/>
                <w:lang w:val="et-EE"/>
              </w:rPr>
            </w:pPr>
            <w:r w:rsidRPr="009739BF">
              <w:rPr>
                <w:rFonts w:ascii="FS Me" w:hAnsi="FS Me"/>
                <w:sz w:val="18"/>
                <w:szCs w:val="18"/>
                <w:lang w:val="et-EE"/>
              </w:rPr>
              <w:t>Sektor L</w:t>
            </w:r>
          </w:p>
        </w:tc>
        <w:tc>
          <w:tcPr>
            <w:tcW w:w="1701" w:type="dxa"/>
          </w:tcPr>
          <w:p w14:paraId="4F0E9BC3" w14:textId="6FCBA438"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0,0</w:t>
            </w:r>
          </w:p>
        </w:tc>
        <w:tc>
          <w:tcPr>
            <w:tcW w:w="1701" w:type="dxa"/>
          </w:tcPr>
          <w:p w14:paraId="7E7A778E" w14:textId="05F8DBA9"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0,0</w:t>
            </w:r>
          </w:p>
        </w:tc>
        <w:tc>
          <w:tcPr>
            <w:tcW w:w="3934" w:type="dxa"/>
            <w:vMerge/>
          </w:tcPr>
          <w:p w14:paraId="0D2B7CB8" w14:textId="77777777" w:rsidR="00125439" w:rsidRPr="009739BF" w:rsidRDefault="00125439" w:rsidP="008B36C3">
            <w:pPr>
              <w:rPr>
                <w:rFonts w:ascii="FS Me" w:hAnsi="FS Me"/>
                <w:sz w:val="18"/>
                <w:szCs w:val="18"/>
                <w:lang w:val="et-EE"/>
              </w:rPr>
            </w:pPr>
          </w:p>
        </w:tc>
      </w:tr>
      <w:tr w:rsidR="00125439" w:rsidRPr="00705488" w14:paraId="69A64A84" w14:textId="77777777" w:rsidTr="00125439">
        <w:tc>
          <w:tcPr>
            <w:tcW w:w="2185" w:type="dxa"/>
          </w:tcPr>
          <w:p w14:paraId="33956478" w14:textId="639058CB" w:rsidR="00125439" w:rsidRPr="009739BF" w:rsidRDefault="00125439" w:rsidP="008B36C3">
            <w:pPr>
              <w:rPr>
                <w:rFonts w:ascii="FS Me" w:hAnsi="FS Me"/>
                <w:sz w:val="18"/>
                <w:szCs w:val="18"/>
                <w:lang w:val="et-EE"/>
              </w:rPr>
            </w:pPr>
            <w:r w:rsidRPr="009739BF">
              <w:rPr>
                <w:rFonts w:ascii="FS Me" w:hAnsi="FS Me"/>
                <w:sz w:val="18"/>
                <w:szCs w:val="18"/>
                <w:lang w:val="et-EE"/>
              </w:rPr>
              <w:t>Elurikkus</w:t>
            </w:r>
          </w:p>
        </w:tc>
        <w:tc>
          <w:tcPr>
            <w:tcW w:w="2135" w:type="dxa"/>
          </w:tcPr>
          <w:p w14:paraId="053C2325" w14:textId="6868BCD3" w:rsidR="00125439" w:rsidRPr="009739BF" w:rsidRDefault="00125439" w:rsidP="008B36C3">
            <w:pPr>
              <w:rPr>
                <w:rFonts w:ascii="FS Me" w:hAnsi="FS Me"/>
                <w:sz w:val="18"/>
                <w:szCs w:val="18"/>
                <w:lang w:val="et-EE"/>
              </w:rPr>
            </w:pPr>
            <w:r w:rsidRPr="009739BF">
              <w:rPr>
                <w:rFonts w:ascii="FS Me" w:hAnsi="FS Me"/>
                <w:sz w:val="18"/>
                <w:szCs w:val="18"/>
                <w:lang w:val="et-EE"/>
              </w:rPr>
              <w:t>7. Tegevus, mis mõjutab negatiivselt elurikkuse seisukohast tundlikke alasid</w:t>
            </w:r>
          </w:p>
        </w:tc>
        <w:tc>
          <w:tcPr>
            <w:tcW w:w="2905" w:type="dxa"/>
          </w:tcPr>
          <w:p w14:paraId="6F1CE3DB" w14:textId="760F0AD6" w:rsidR="00125439" w:rsidRPr="009739BF" w:rsidRDefault="00125439" w:rsidP="008B36C3">
            <w:pPr>
              <w:rPr>
                <w:rFonts w:ascii="FS Me" w:hAnsi="FS Me"/>
                <w:sz w:val="18"/>
                <w:szCs w:val="18"/>
                <w:lang w:val="et-EE"/>
              </w:rPr>
            </w:pPr>
            <w:r w:rsidRPr="009739BF">
              <w:rPr>
                <w:rFonts w:ascii="FS Me" w:hAnsi="FS Me"/>
                <w:sz w:val="18"/>
                <w:szCs w:val="18"/>
                <w:lang w:val="et-EE"/>
              </w:rPr>
              <w:t>Selliste investeeringute osakaal, mis on tehtud investeerimisobjektiks olevatesse äriühingutesse, mille tegevuskohad/tegevused asuvad elurikkuse seisukohast tundlikel aladel või nende lähedal, kui investeerimisobjektiks olevate äriühingute tegevus mõjutab neid alasid negatiivselt</w:t>
            </w:r>
          </w:p>
        </w:tc>
        <w:tc>
          <w:tcPr>
            <w:tcW w:w="1701" w:type="dxa"/>
          </w:tcPr>
          <w:p w14:paraId="40ADDCB5" w14:textId="31BE55DD" w:rsidR="00125439" w:rsidRPr="009739BF" w:rsidRDefault="00125439" w:rsidP="008B36C3">
            <w:pPr>
              <w:rPr>
                <w:rFonts w:ascii="FS Me" w:hAnsi="FS Me"/>
                <w:sz w:val="18"/>
                <w:szCs w:val="18"/>
                <w:lang w:val="et-EE"/>
              </w:rPr>
            </w:pPr>
            <w:r w:rsidRPr="009739BF">
              <w:rPr>
                <w:rFonts w:ascii="FS Me" w:hAnsi="FS Me"/>
                <w:sz w:val="18"/>
                <w:szCs w:val="18"/>
                <w:lang w:val="et-EE"/>
              </w:rPr>
              <w:t>1%</w:t>
            </w:r>
          </w:p>
        </w:tc>
        <w:tc>
          <w:tcPr>
            <w:tcW w:w="1701" w:type="dxa"/>
          </w:tcPr>
          <w:p w14:paraId="425E4936" w14:textId="4A5962B9"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0%</w:t>
            </w:r>
          </w:p>
        </w:tc>
        <w:tc>
          <w:tcPr>
            <w:tcW w:w="3934" w:type="dxa"/>
            <w:vMerge w:val="restart"/>
          </w:tcPr>
          <w:p w14:paraId="3BBA0032" w14:textId="0B5D600A" w:rsidR="00125439" w:rsidRPr="009739BF" w:rsidRDefault="00125439" w:rsidP="008B36C3">
            <w:pPr>
              <w:rPr>
                <w:rFonts w:ascii="FS Me" w:hAnsi="FS Me"/>
                <w:sz w:val="18"/>
                <w:szCs w:val="18"/>
                <w:lang w:val="et-EE"/>
              </w:rPr>
            </w:pPr>
            <w:r w:rsidRPr="009739BF">
              <w:rPr>
                <w:rFonts w:ascii="FS Me" w:hAnsi="FS Me"/>
                <w:sz w:val="18"/>
                <w:szCs w:val="18"/>
                <w:lang w:val="et-EE"/>
              </w:rPr>
              <w:t>Kuigi me ei ole seadnud eraldi eesmärke elurikkuse, vee ja jäätmetega seotud näitajate jaoks, arvestame oma investeerimisotsustes siiski ESG aspekte, lõimides need korrakindlalt oma investeeringute juhtimistegevustesse. Välised ESG andmete pakkujad varustavad meid emitentide ESG reitingute, uurimisandmete ja näitajatega (sealhulgas ka konkreetsete ESG aspektidega, mis on näiteks seotud keskkonna- ja sotsiaalküsimuste ning elurikkusega). Emitente, kelle ESG reiting on madal või kes avaldavad mitme näitaja all suurt negatiivset mõju, võidakse täiendavalt analüüsida ja kõrvale jätta.</w:t>
            </w:r>
          </w:p>
        </w:tc>
      </w:tr>
      <w:tr w:rsidR="00125439" w:rsidRPr="009739BF" w14:paraId="0154408E" w14:textId="77777777" w:rsidTr="00125439">
        <w:tc>
          <w:tcPr>
            <w:tcW w:w="2185" w:type="dxa"/>
          </w:tcPr>
          <w:p w14:paraId="3C381E68" w14:textId="75C724B1" w:rsidR="00125439" w:rsidRPr="009739BF" w:rsidRDefault="00125439" w:rsidP="008B36C3">
            <w:pPr>
              <w:rPr>
                <w:rFonts w:ascii="FS Me" w:hAnsi="FS Me"/>
                <w:sz w:val="18"/>
                <w:szCs w:val="18"/>
                <w:lang w:val="et-EE"/>
              </w:rPr>
            </w:pPr>
            <w:r w:rsidRPr="009739BF">
              <w:rPr>
                <w:rFonts w:ascii="FS Me" w:hAnsi="FS Me"/>
                <w:sz w:val="18"/>
                <w:szCs w:val="18"/>
                <w:lang w:val="et-EE"/>
              </w:rPr>
              <w:t>Vesi</w:t>
            </w:r>
          </w:p>
        </w:tc>
        <w:tc>
          <w:tcPr>
            <w:tcW w:w="2135" w:type="dxa"/>
          </w:tcPr>
          <w:p w14:paraId="4FF34150" w14:textId="11444EF6" w:rsidR="00125439" w:rsidRPr="009739BF" w:rsidRDefault="00125439" w:rsidP="008B36C3">
            <w:pPr>
              <w:rPr>
                <w:rFonts w:ascii="FS Me" w:hAnsi="FS Me"/>
                <w:sz w:val="18"/>
                <w:szCs w:val="18"/>
                <w:lang w:val="et-EE"/>
              </w:rPr>
            </w:pPr>
            <w:r w:rsidRPr="009739BF">
              <w:rPr>
                <w:rFonts w:ascii="FS Me" w:hAnsi="FS Me"/>
                <w:sz w:val="18"/>
                <w:szCs w:val="18"/>
                <w:lang w:val="et-EE"/>
              </w:rPr>
              <w:t xml:space="preserve">8. </w:t>
            </w:r>
            <w:proofErr w:type="spellStart"/>
            <w:r w:rsidRPr="009739BF">
              <w:rPr>
                <w:rFonts w:ascii="FS Me" w:hAnsi="FS Me"/>
                <w:sz w:val="18"/>
                <w:szCs w:val="18"/>
                <w:lang w:val="et-EE"/>
              </w:rPr>
              <w:t>Vetteheide</w:t>
            </w:r>
            <w:proofErr w:type="spellEnd"/>
          </w:p>
        </w:tc>
        <w:tc>
          <w:tcPr>
            <w:tcW w:w="2905" w:type="dxa"/>
          </w:tcPr>
          <w:p w14:paraId="421D897B" w14:textId="2DEF90A8" w:rsidR="00125439" w:rsidRPr="009739BF" w:rsidRDefault="00125439" w:rsidP="008B36C3">
            <w:pPr>
              <w:rPr>
                <w:rFonts w:ascii="FS Me" w:hAnsi="FS Me"/>
                <w:sz w:val="18"/>
                <w:szCs w:val="18"/>
                <w:lang w:val="et-EE"/>
              </w:rPr>
            </w:pPr>
            <w:r w:rsidRPr="009739BF">
              <w:rPr>
                <w:rFonts w:ascii="FS Me" w:hAnsi="FS Me"/>
                <w:sz w:val="18"/>
                <w:szCs w:val="18"/>
                <w:lang w:val="et-EE"/>
              </w:rPr>
              <w:t xml:space="preserve">Investeerimisobjektiks olevate äriühingute </w:t>
            </w:r>
            <w:proofErr w:type="spellStart"/>
            <w:r w:rsidRPr="009739BF">
              <w:rPr>
                <w:rFonts w:ascii="FS Me" w:hAnsi="FS Me"/>
                <w:sz w:val="18"/>
                <w:szCs w:val="18"/>
                <w:lang w:val="et-EE"/>
              </w:rPr>
              <w:t>vetteheide</w:t>
            </w:r>
            <w:proofErr w:type="spellEnd"/>
            <w:r w:rsidRPr="009739BF">
              <w:rPr>
                <w:rFonts w:ascii="FS Me" w:hAnsi="FS Me"/>
                <w:sz w:val="18"/>
                <w:szCs w:val="18"/>
                <w:lang w:val="et-EE"/>
              </w:rPr>
              <w:t xml:space="preserve"> tonnides investeeritud miljoni euro kohta, mis väljendub kaalutud keskmisena</w:t>
            </w:r>
          </w:p>
        </w:tc>
        <w:tc>
          <w:tcPr>
            <w:tcW w:w="1701" w:type="dxa"/>
          </w:tcPr>
          <w:p w14:paraId="37DD6F7F" w14:textId="468FD4EB" w:rsidR="00125439" w:rsidRPr="009739BF" w:rsidRDefault="00125439" w:rsidP="008B36C3">
            <w:pPr>
              <w:rPr>
                <w:rFonts w:ascii="FS Me" w:hAnsi="FS Me"/>
                <w:sz w:val="18"/>
                <w:szCs w:val="18"/>
                <w:lang w:val="et-EE"/>
              </w:rPr>
            </w:pPr>
            <w:r w:rsidRPr="009739BF">
              <w:rPr>
                <w:rFonts w:ascii="FS Me" w:hAnsi="FS Me"/>
                <w:sz w:val="18"/>
                <w:szCs w:val="18"/>
                <w:lang w:val="et-EE"/>
              </w:rPr>
              <w:t>2,20</w:t>
            </w:r>
          </w:p>
        </w:tc>
        <w:tc>
          <w:tcPr>
            <w:tcW w:w="1701" w:type="dxa"/>
          </w:tcPr>
          <w:p w14:paraId="02301159" w14:textId="21E384F7"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0,31</w:t>
            </w:r>
          </w:p>
        </w:tc>
        <w:tc>
          <w:tcPr>
            <w:tcW w:w="3934" w:type="dxa"/>
            <w:vMerge/>
          </w:tcPr>
          <w:p w14:paraId="348C3183" w14:textId="77777777" w:rsidR="00125439" w:rsidRPr="009739BF" w:rsidRDefault="00125439" w:rsidP="008B36C3">
            <w:pPr>
              <w:rPr>
                <w:rFonts w:ascii="FS Me" w:hAnsi="FS Me"/>
                <w:sz w:val="18"/>
                <w:szCs w:val="18"/>
                <w:lang w:val="et-EE"/>
              </w:rPr>
            </w:pPr>
          </w:p>
        </w:tc>
      </w:tr>
      <w:tr w:rsidR="00125439" w:rsidRPr="009739BF" w14:paraId="1D60306F" w14:textId="77777777" w:rsidTr="00125439">
        <w:tc>
          <w:tcPr>
            <w:tcW w:w="2185" w:type="dxa"/>
          </w:tcPr>
          <w:p w14:paraId="7FF22F3D" w14:textId="150AF4EF" w:rsidR="00125439" w:rsidRPr="009739BF" w:rsidRDefault="00125439" w:rsidP="008B36C3">
            <w:pPr>
              <w:rPr>
                <w:rFonts w:ascii="FS Me" w:hAnsi="FS Me"/>
                <w:sz w:val="18"/>
                <w:szCs w:val="18"/>
                <w:lang w:val="et-EE"/>
              </w:rPr>
            </w:pPr>
            <w:r w:rsidRPr="009739BF">
              <w:rPr>
                <w:rFonts w:ascii="FS Me" w:hAnsi="FS Me"/>
                <w:sz w:val="18"/>
                <w:szCs w:val="18"/>
                <w:lang w:val="et-EE"/>
              </w:rPr>
              <w:t>Jäätmed</w:t>
            </w:r>
          </w:p>
        </w:tc>
        <w:tc>
          <w:tcPr>
            <w:tcW w:w="2135" w:type="dxa"/>
          </w:tcPr>
          <w:p w14:paraId="090B4035" w14:textId="47A0123A" w:rsidR="00125439" w:rsidRPr="009739BF" w:rsidRDefault="00125439" w:rsidP="008B36C3">
            <w:pPr>
              <w:rPr>
                <w:rFonts w:ascii="FS Me" w:hAnsi="FS Me"/>
                <w:sz w:val="18"/>
                <w:szCs w:val="18"/>
                <w:lang w:val="et-EE"/>
              </w:rPr>
            </w:pPr>
            <w:r w:rsidRPr="009739BF">
              <w:rPr>
                <w:rFonts w:ascii="FS Me" w:hAnsi="FS Me"/>
                <w:sz w:val="18"/>
                <w:szCs w:val="18"/>
                <w:lang w:val="et-EE"/>
              </w:rPr>
              <w:t>9. Ohtlike jäätmete ja radioaktiivsete jäätmete suhtarv</w:t>
            </w:r>
          </w:p>
        </w:tc>
        <w:tc>
          <w:tcPr>
            <w:tcW w:w="2905" w:type="dxa"/>
          </w:tcPr>
          <w:p w14:paraId="0FAAED46" w14:textId="392A241E" w:rsidR="00125439" w:rsidRPr="009739BF" w:rsidRDefault="00125439" w:rsidP="008B36C3">
            <w:pPr>
              <w:rPr>
                <w:rFonts w:ascii="FS Me" w:hAnsi="FS Me"/>
                <w:sz w:val="18"/>
                <w:szCs w:val="18"/>
                <w:lang w:val="et-EE"/>
              </w:rPr>
            </w:pPr>
            <w:r w:rsidRPr="009739BF">
              <w:rPr>
                <w:rFonts w:ascii="FS Me" w:hAnsi="FS Me"/>
                <w:sz w:val="18"/>
                <w:szCs w:val="18"/>
                <w:lang w:val="et-EE"/>
              </w:rPr>
              <w:t>Investeerimisobjektiks olevate äriühingute tekitatud ohtlike ja radioaktiivsete jäätmete kogus tonnides investeeritud miljoni euro kohta, mis väljendub kaalutud keskmisena</w:t>
            </w:r>
          </w:p>
        </w:tc>
        <w:tc>
          <w:tcPr>
            <w:tcW w:w="1701" w:type="dxa"/>
          </w:tcPr>
          <w:p w14:paraId="026E9FCE" w14:textId="5EF01C65" w:rsidR="00125439" w:rsidRPr="009739BF" w:rsidRDefault="00125439" w:rsidP="008B36C3">
            <w:pPr>
              <w:rPr>
                <w:rFonts w:ascii="FS Me" w:hAnsi="FS Me"/>
                <w:sz w:val="18"/>
                <w:szCs w:val="18"/>
                <w:lang w:val="et-EE"/>
              </w:rPr>
            </w:pPr>
            <w:r w:rsidRPr="009739BF">
              <w:rPr>
                <w:rFonts w:ascii="FS Me" w:hAnsi="FS Me"/>
                <w:sz w:val="18"/>
                <w:szCs w:val="18"/>
                <w:lang w:val="et-EE"/>
              </w:rPr>
              <w:t>37,66</w:t>
            </w:r>
          </w:p>
        </w:tc>
        <w:tc>
          <w:tcPr>
            <w:tcW w:w="1701" w:type="dxa"/>
          </w:tcPr>
          <w:p w14:paraId="2B5D5CDD" w14:textId="723EAA0E"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1,95</w:t>
            </w:r>
          </w:p>
        </w:tc>
        <w:tc>
          <w:tcPr>
            <w:tcW w:w="3934" w:type="dxa"/>
            <w:vMerge/>
          </w:tcPr>
          <w:p w14:paraId="6952825E" w14:textId="77777777" w:rsidR="00125439" w:rsidRPr="009739BF" w:rsidRDefault="00125439" w:rsidP="008B36C3">
            <w:pPr>
              <w:rPr>
                <w:rFonts w:ascii="FS Me" w:hAnsi="FS Me"/>
                <w:sz w:val="18"/>
                <w:szCs w:val="18"/>
                <w:lang w:val="et-EE"/>
              </w:rPr>
            </w:pPr>
          </w:p>
        </w:tc>
      </w:tr>
      <w:tr w:rsidR="008B36C3" w:rsidRPr="009739BF" w14:paraId="4A6B4E1F" w14:textId="77777777" w:rsidTr="00C725DE">
        <w:tc>
          <w:tcPr>
            <w:tcW w:w="14561" w:type="dxa"/>
            <w:gridSpan w:val="6"/>
          </w:tcPr>
          <w:p w14:paraId="09CAF6D0" w14:textId="0A1BFC85" w:rsidR="008B36C3" w:rsidRPr="009739BF" w:rsidRDefault="008B36C3" w:rsidP="008B36C3">
            <w:pPr>
              <w:rPr>
                <w:rFonts w:ascii="FS Me" w:hAnsi="FS Me"/>
                <w:b/>
                <w:sz w:val="18"/>
                <w:szCs w:val="18"/>
                <w:lang w:val="et-EE"/>
              </w:rPr>
            </w:pPr>
            <w:r w:rsidRPr="009739BF">
              <w:rPr>
                <w:rFonts w:ascii="FS Me" w:hAnsi="FS Me"/>
                <w:b/>
                <w:bCs/>
                <w:sz w:val="18"/>
                <w:szCs w:val="18"/>
                <w:lang w:val="et-EE"/>
              </w:rPr>
              <w:t>SOTSIAALSETE JA TÖÖTAJATEGA SEOTUD, INIMÕIGUSTE AUSTAMISE NING KORRUPTSIOONI JA ALTKÄEMAKSU TÕKESTAMISE NÄITAJAD</w:t>
            </w:r>
          </w:p>
        </w:tc>
      </w:tr>
      <w:tr w:rsidR="00125439" w:rsidRPr="00705488" w14:paraId="6191F125" w14:textId="77777777" w:rsidTr="00125439">
        <w:tc>
          <w:tcPr>
            <w:tcW w:w="2185" w:type="dxa"/>
          </w:tcPr>
          <w:p w14:paraId="2F7DEA20" w14:textId="5E0ECE14" w:rsidR="00125439" w:rsidRPr="009739BF" w:rsidRDefault="00125439" w:rsidP="008B36C3">
            <w:pPr>
              <w:rPr>
                <w:rFonts w:ascii="FS Me" w:hAnsi="FS Me"/>
                <w:sz w:val="18"/>
                <w:szCs w:val="18"/>
                <w:lang w:val="et-EE"/>
              </w:rPr>
            </w:pPr>
            <w:r w:rsidRPr="009739BF">
              <w:rPr>
                <w:rFonts w:ascii="FS Me" w:hAnsi="FS Me"/>
                <w:sz w:val="18"/>
                <w:szCs w:val="18"/>
                <w:lang w:val="et-EE"/>
              </w:rPr>
              <w:t>Töötajatega seotud ja sotsiaalküsimused</w:t>
            </w:r>
          </w:p>
        </w:tc>
        <w:tc>
          <w:tcPr>
            <w:tcW w:w="2135" w:type="dxa"/>
          </w:tcPr>
          <w:p w14:paraId="0C8B9F9A" w14:textId="688D3306" w:rsidR="00125439" w:rsidRPr="009739BF" w:rsidRDefault="00125439" w:rsidP="008B36C3">
            <w:pPr>
              <w:rPr>
                <w:rFonts w:ascii="FS Me" w:hAnsi="FS Me"/>
                <w:sz w:val="18"/>
                <w:szCs w:val="18"/>
                <w:lang w:val="et-EE"/>
              </w:rPr>
            </w:pPr>
            <w:r w:rsidRPr="009739BF">
              <w:rPr>
                <w:rFonts w:ascii="FS Me" w:hAnsi="FS Me"/>
                <w:sz w:val="18"/>
                <w:szCs w:val="18"/>
                <w:lang w:val="et-EE"/>
              </w:rPr>
              <w:t xml:space="preserve">10. ÜRO üleilmse kokkuleppe põhimõtete ning </w:t>
            </w:r>
            <w:proofErr w:type="spellStart"/>
            <w:r w:rsidRPr="009739BF">
              <w:rPr>
                <w:rFonts w:ascii="FS Me" w:hAnsi="FS Me"/>
                <w:sz w:val="18"/>
                <w:szCs w:val="18"/>
                <w:lang w:val="et-EE"/>
              </w:rPr>
              <w:t>hargmaiseid</w:t>
            </w:r>
            <w:proofErr w:type="spellEnd"/>
            <w:r w:rsidRPr="009739BF">
              <w:rPr>
                <w:rFonts w:ascii="FS Me" w:hAnsi="FS Me"/>
                <w:sz w:val="18"/>
                <w:szCs w:val="18"/>
                <w:lang w:val="et-EE"/>
              </w:rPr>
              <w:t xml:space="preserve"> ettevõtteid käsitlevate Majandus</w:t>
            </w:r>
            <w:r w:rsidRPr="009739BF">
              <w:rPr>
                <w:rFonts w:ascii="FS Me" w:hAnsi="FS Me"/>
                <w:sz w:val="18"/>
                <w:szCs w:val="18"/>
                <w:lang w:val="et-EE"/>
              </w:rPr>
              <w:lastRenderedPageBreak/>
              <w:t>koostöö ja Arengu Organisatsiooni (OECD) suuniste rikkumine</w:t>
            </w:r>
          </w:p>
        </w:tc>
        <w:tc>
          <w:tcPr>
            <w:tcW w:w="2905" w:type="dxa"/>
          </w:tcPr>
          <w:p w14:paraId="63767F7B" w14:textId="667E2AEF" w:rsidR="00125439" w:rsidRPr="009739BF" w:rsidRDefault="00125439" w:rsidP="008B36C3">
            <w:pPr>
              <w:rPr>
                <w:rFonts w:ascii="FS Me" w:hAnsi="FS Me"/>
                <w:sz w:val="18"/>
                <w:szCs w:val="18"/>
                <w:lang w:val="et-EE"/>
              </w:rPr>
            </w:pPr>
            <w:r w:rsidRPr="009739BF">
              <w:rPr>
                <w:rFonts w:ascii="FS Me" w:hAnsi="FS Me"/>
                <w:sz w:val="18"/>
                <w:szCs w:val="18"/>
                <w:lang w:val="et-EE"/>
              </w:rPr>
              <w:lastRenderedPageBreak/>
              <w:t xml:space="preserve">Selliste investeeringute osakaal, mis on tehtud investeerimisobjektiks olevatesse äriühingutesse, mis on olnud seotud ÜRO üleilmse kokkuleppe põhimõtete või </w:t>
            </w:r>
            <w:proofErr w:type="spellStart"/>
            <w:r w:rsidRPr="009739BF">
              <w:rPr>
                <w:rFonts w:ascii="FS Me" w:hAnsi="FS Me"/>
                <w:sz w:val="18"/>
                <w:szCs w:val="18"/>
                <w:lang w:val="et-EE"/>
              </w:rPr>
              <w:t>hargmaiseid</w:t>
            </w:r>
            <w:proofErr w:type="spellEnd"/>
            <w:r w:rsidRPr="009739BF">
              <w:rPr>
                <w:rFonts w:ascii="FS Me" w:hAnsi="FS Me"/>
                <w:sz w:val="18"/>
                <w:szCs w:val="18"/>
                <w:lang w:val="et-EE"/>
              </w:rPr>
              <w:t xml:space="preserve"> </w:t>
            </w:r>
            <w:r w:rsidRPr="009739BF">
              <w:rPr>
                <w:rFonts w:ascii="FS Me" w:hAnsi="FS Me"/>
                <w:sz w:val="18"/>
                <w:szCs w:val="18"/>
                <w:lang w:val="et-EE"/>
              </w:rPr>
              <w:lastRenderedPageBreak/>
              <w:t>ettevõtteid käsitlevate OECD suuniste rikkumisega</w:t>
            </w:r>
          </w:p>
        </w:tc>
        <w:tc>
          <w:tcPr>
            <w:tcW w:w="1701" w:type="dxa"/>
          </w:tcPr>
          <w:p w14:paraId="5FE6BF66" w14:textId="40E672C9"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lastRenderedPageBreak/>
              <w:t>1%</w:t>
            </w:r>
          </w:p>
        </w:tc>
        <w:tc>
          <w:tcPr>
            <w:tcW w:w="1701" w:type="dxa"/>
          </w:tcPr>
          <w:p w14:paraId="540575C9" w14:textId="779E203E"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2%</w:t>
            </w:r>
          </w:p>
        </w:tc>
        <w:tc>
          <w:tcPr>
            <w:tcW w:w="3934" w:type="dxa"/>
            <w:vMerge w:val="restart"/>
          </w:tcPr>
          <w:p w14:paraId="4938B552" w14:textId="54D7DD92" w:rsidR="00125439" w:rsidRPr="009739BF" w:rsidRDefault="00125439" w:rsidP="008B36C3">
            <w:pPr>
              <w:rPr>
                <w:rFonts w:ascii="FS Me" w:hAnsi="FS Me"/>
                <w:sz w:val="18"/>
                <w:szCs w:val="18"/>
                <w:lang w:val="et-EE"/>
              </w:rPr>
            </w:pPr>
            <w:r w:rsidRPr="009739BF">
              <w:rPr>
                <w:rFonts w:ascii="FS Me" w:hAnsi="FS Me"/>
                <w:sz w:val="18"/>
                <w:szCs w:val="18"/>
                <w:lang w:val="et-EE"/>
              </w:rPr>
              <w:t xml:space="preserve">Meie kontsern oli üks esimesi ÜRO vastutustundliku investeerimise põhimõtete allkirjastajaid ja järgib neid siiani. Selle algatuse eesmärk on parandada arusaama investeerimistegevuse mõjust keskkonna-, sotsiaal- ja juhtimisküsimustele ning </w:t>
            </w:r>
            <w:r w:rsidRPr="009739BF">
              <w:rPr>
                <w:rFonts w:ascii="FS Me" w:hAnsi="FS Me"/>
                <w:sz w:val="18"/>
                <w:szCs w:val="18"/>
                <w:lang w:val="et-EE"/>
              </w:rPr>
              <w:lastRenderedPageBreak/>
              <w:t>toetada allakirjutanuid nende küsimuste lõimimisel oma investeerimisotsustesse.</w:t>
            </w:r>
          </w:p>
          <w:p w14:paraId="2920921B" w14:textId="1F90EA66" w:rsidR="00125439" w:rsidRPr="009739BF" w:rsidRDefault="00125439" w:rsidP="008B36C3">
            <w:pPr>
              <w:rPr>
                <w:rFonts w:ascii="FS Me" w:hAnsi="FS Me"/>
                <w:sz w:val="18"/>
                <w:szCs w:val="18"/>
                <w:lang w:val="et-EE"/>
              </w:rPr>
            </w:pPr>
            <w:r w:rsidRPr="009739BF">
              <w:rPr>
                <w:rFonts w:ascii="FS Me" w:hAnsi="FS Me"/>
                <w:sz w:val="18"/>
                <w:szCs w:val="18"/>
                <w:lang w:val="et-EE"/>
              </w:rPr>
              <w:t>Kuigi me ei ole seadnud eraldi eesmärke töötajatega seotud ja sotsiaalnäitajate jaoks, arvestame oma investeerimisotsustes siiski ESG aspekte, lõimides need korrakindlalt oma investeeringute juhtimistegevustesse. Välised ESG andmete pakkujad varustavad meid emitentide ESG reitingute, uurimisandmete ja näitajatega (sealhulgas ka konkreetsete ESG aspektidega, mis on näiteks seotud keskkonna ja sotsiaalküsimuste ning inimõigustega). Emitente, kelle reiting on madal või kes avaldavad mitme näitaja all suurt negatiivset mõju, võidakse täiendavalt analüüsida ja kõrvale jätta.</w:t>
            </w:r>
          </w:p>
        </w:tc>
      </w:tr>
      <w:tr w:rsidR="00125439" w:rsidRPr="009739BF" w14:paraId="61C29E8C" w14:textId="77777777" w:rsidTr="00125439">
        <w:tc>
          <w:tcPr>
            <w:tcW w:w="2185" w:type="dxa"/>
          </w:tcPr>
          <w:p w14:paraId="2A16927D" w14:textId="77777777" w:rsidR="00125439" w:rsidRPr="009739BF" w:rsidRDefault="00125439" w:rsidP="008B36C3">
            <w:pPr>
              <w:rPr>
                <w:rFonts w:ascii="FS Me" w:hAnsi="FS Me"/>
                <w:sz w:val="18"/>
                <w:szCs w:val="18"/>
                <w:lang w:val="et-EE"/>
              </w:rPr>
            </w:pPr>
          </w:p>
        </w:tc>
        <w:tc>
          <w:tcPr>
            <w:tcW w:w="2135" w:type="dxa"/>
          </w:tcPr>
          <w:p w14:paraId="3EFE7FC8" w14:textId="26446330" w:rsidR="00125439" w:rsidRPr="009739BF" w:rsidRDefault="00125439" w:rsidP="008B36C3">
            <w:pPr>
              <w:rPr>
                <w:rFonts w:ascii="FS Me" w:hAnsi="FS Me"/>
                <w:sz w:val="18"/>
                <w:szCs w:val="18"/>
                <w:lang w:val="et-EE"/>
              </w:rPr>
            </w:pPr>
            <w:r w:rsidRPr="009739BF">
              <w:rPr>
                <w:rFonts w:ascii="FS Me" w:hAnsi="FS Me"/>
                <w:sz w:val="18"/>
                <w:szCs w:val="18"/>
                <w:lang w:val="et-EE"/>
              </w:rPr>
              <w:t xml:space="preserve">11. Puuduvad menetlused ja vastavuskontrolli mehhanismid, et jälgida vastavust ÜRO üleilmse kokkuleppe põhimõtetele ja </w:t>
            </w:r>
            <w:proofErr w:type="spellStart"/>
            <w:r w:rsidRPr="009739BF">
              <w:rPr>
                <w:rFonts w:ascii="FS Me" w:hAnsi="FS Me"/>
                <w:sz w:val="18"/>
                <w:szCs w:val="18"/>
                <w:lang w:val="et-EE"/>
              </w:rPr>
              <w:t>hargmaiseid</w:t>
            </w:r>
            <w:proofErr w:type="spellEnd"/>
            <w:r w:rsidRPr="009739BF">
              <w:rPr>
                <w:rFonts w:ascii="FS Me" w:hAnsi="FS Me"/>
                <w:sz w:val="18"/>
                <w:szCs w:val="18"/>
                <w:lang w:val="et-EE"/>
              </w:rPr>
              <w:t xml:space="preserve"> ettevõtteid käsitlevatele OECD suunistele </w:t>
            </w:r>
          </w:p>
        </w:tc>
        <w:tc>
          <w:tcPr>
            <w:tcW w:w="2905" w:type="dxa"/>
          </w:tcPr>
          <w:p w14:paraId="4478E23D" w14:textId="1C3FA63E" w:rsidR="00125439" w:rsidRPr="009739BF" w:rsidRDefault="00125439" w:rsidP="008B36C3">
            <w:pPr>
              <w:rPr>
                <w:rFonts w:ascii="FS Me" w:hAnsi="FS Me"/>
                <w:sz w:val="18"/>
                <w:szCs w:val="18"/>
                <w:lang w:val="et-EE"/>
              </w:rPr>
            </w:pPr>
            <w:r w:rsidRPr="009739BF">
              <w:rPr>
                <w:rFonts w:ascii="FS Me" w:hAnsi="FS Me"/>
                <w:sz w:val="18"/>
                <w:szCs w:val="18"/>
                <w:lang w:val="et-EE"/>
              </w:rPr>
              <w:t xml:space="preserve">Selliste investeeringute osakaal, mis on tehtud investeerimisobjektiks olevatesse äriühingutesse, kus puuduvad strateegiad, et jälgida vastavust ÜRO üleilmse kokkuleppe põhimõtetele või </w:t>
            </w:r>
            <w:proofErr w:type="spellStart"/>
            <w:r w:rsidRPr="009739BF">
              <w:rPr>
                <w:rFonts w:ascii="FS Me" w:hAnsi="FS Me"/>
                <w:sz w:val="18"/>
                <w:szCs w:val="18"/>
                <w:lang w:val="et-EE"/>
              </w:rPr>
              <w:t>hargmaiseid</w:t>
            </w:r>
            <w:proofErr w:type="spellEnd"/>
            <w:r w:rsidRPr="009739BF">
              <w:rPr>
                <w:rFonts w:ascii="FS Me" w:hAnsi="FS Me"/>
                <w:sz w:val="18"/>
                <w:szCs w:val="18"/>
                <w:lang w:val="et-EE"/>
              </w:rPr>
              <w:t xml:space="preserve"> ettevõtteid käsitlevatele OECD suunistele, või kaebuste menetlemise mehhanismid ÜRO üleilmse kokkuleppe põhimõtete või </w:t>
            </w:r>
            <w:proofErr w:type="spellStart"/>
            <w:r w:rsidRPr="009739BF">
              <w:rPr>
                <w:rFonts w:ascii="FS Me" w:hAnsi="FS Me"/>
                <w:sz w:val="18"/>
                <w:szCs w:val="18"/>
                <w:lang w:val="et-EE"/>
              </w:rPr>
              <w:t>hargmaiseid</w:t>
            </w:r>
            <w:proofErr w:type="spellEnd"/>
            <w:r w:rsidRPr="009739BF">
              <w:rPr>
                <w:rFonts w:ascii="FS Me" w:hAnsi="FS Me"/>
                <w:sz w:val="18"/>
                <w:szCs w:val="18"/>
                <w:lang w:val="et-EE"/>
              </w:rPr>
              <w:t xml:space="preserve"> ettevõtteid käsitlevate OECD suuniste rikkumise menetlemiseks</w:t>
            </w:r>
          </w:p>
        </w:tc>
        <w:tc>
          <w:tcPr>
            <w:tcW w:w="1701" w:type="dxa"/>
          </w:tcPr>
          <w:p w14:paraId="036B2B3C" w14:textId="011D934E"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28%</w:t>
            </w:r>
          </w:p>
        </w:tc>
        <w:tc>
          <w:tcPr>
            <w:tcW w:w="1701" w:type="dxa"/>
          </w:tcPr>
          <w:p w14:paraId="6C8C1C0B" w14:textId="47920F83"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0%</w:t>
            </w:r>
          </w:p>
        </w:tc>
        <w:tc>
          <w:tcPr>
            <w:tcW w:w="3934" w:type="dxa"/>
            <w:vMerge/>
          </w:tcPr>
          <w:p w14:paraId="2865BAF9" w14:textId="77777777" w:rsidR="00125439" w:rsidRPr="009739BF" w:rsidRDefault="00125439" w:rsidP="008B36C3">
            <w:pPr>
              <w:rPr>
                <w:rFonts w:ascii="FS Me" w:hAnsi="FS Me"/>
                <w:sz w:val="18"/>
                <w:szCs w:val="18"/>
                <w:lang w:val="et-EE"/>
              </w:rPr>
            </w:pPr>
          </w:p>
        </w:tc>
      </w:tr>
      <w:tr w:rsidR="00125439" w:rsidRPr="009739BF" w14:paraId="5090E890" w14:textId="77777777" w:rsidTr="00125439">
        <w:tc>
          <w:tcPr>
            <w:tcW w:w="2185" w:type="dxa"/>
          </w:tcPr>
          <w:p w14:paraId="563A176B" w14:textId="77777777" w:rsidR="00125439" w:rsidRPr="009739BF" w:rsidRDefault="00125439" w:rsidP="008B36C3">
            <w:pPr>
              <w:rPr>
                <w:rFonts w:ascii="FS Me" w:hAnsi="FS Me"/>
                <w:sz w:val="18"/>
                <w:szCs w:val="18"/>
                <w:lang w:val="et-EE"/>
              </w:rPr>
            </w:pPr>
          </w:p>
        </w:tc>
        <w:tc>
          <w:tcPr>
            <w:tcW w:w="2135" w:type="dxa"/>
          </w:tcPr>
          <w:p w14:paraId="0DA138C5" w14:textId="4B23AD72" w:rsidR="00125439" w:rsidRPr="009739BF" w:rsidRDefault="00125439" w:rsidP="008B36C3">
            <w:pPr>
              <w:rPr>
                <w:rFonts w:ascii="FS Me" w:hAnsi="FS Me"/>
                <w:sz w:val="18"/>
                <w:szCs w:val="18"/>
                <w:lang w:val="et-EE"/>
              </w:rPr>
            </w:pPr>
            <w:r w:rsidRPr="009739BF">
              <w:rPr>
                <w:rFonts w:ascii="FS Me" w:hAnsi="FS Me"/>
                <w:sz w:val="18"/>
                <w:szCs w:val="18"/>
                <w:lang w:val="et-EE"/>
              </w:rPr>
              <w:t>12. Korrigeerimata sooline palgalõhe</w:t>
            </w:r>
          </w:p>
        </w:tc>
        <w:tc>
          <w:tcPr>
            <w:tcW w:w="2905" w:type="dxa"/>
          </w:tcPr>
          <w:p w14:paraId="7D0B8952" w14:textId="488BFB81" w:rsidR="00125439" w:rsidRPr="009739BF" w:rsidRDefault="00125439" w:rsidP="008B36C3">
            <w:pPr>
              <w:rPr>
                <w:rFonts w:ascii="FS Me" w:hAnsi="FS Me"/>
                <w:sz w:val="18"/>
                <w:szCs w:val="18"/>
                <w:lang w:val="et-EE"/>
              </w:rPr>
            </w:pPr>
            <w:r w:rsidRPr="009739BF">
              <w:rPr>
                <w:rFonts w:ascii="FS Me" w:hAnsi="FS Me"/>
                <w:sz w:val="18"/>
                <w:szCs w:val="18"/>
                <w:lang w:val="et-EE"/>
              </w:rPr>
              <w:t>Investeerimisobjektiks olevate äriühingute keskmine korrigeerimata sooline palgalõhe</w:t>
            </w:r>
          </w:p>
        </w:tc>
        <w:tc>
          <w:tcPr>
            <w:tcW w:w="1701" w:type="dxa"/>
          </w:tcPr>
          <w:p w14:paraId="1CAFF746" w14:textId="71548372"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17%</w:t>
            </w:r>
          </w:p>
        </w:tc>
        <w:tc>
          <w:tcPr>
            <w:tcW w:w="1701" w:type="dxa"/>
          </w:tcPr>
          <w:p w14:paraId="3EA011FD" w14:textId="2142F20E"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18,4%</w:t>
            </w:r>
          </w:p>
        </w:tc>
        <w:tc>
          <w:tcPr>
            <w:tcW w:w="3934" w:type="dxa"/>
            <w:vMerge/>
          </w:tcPr>
          <w:p w14:paraId="0D1743CE" w14:textId="77777777" w:rsidR="00125439" w:rsidRPr="009739BF" w:rsidRDefault="00125439" w:rsidP="008B36C3">
            <w:pPr>
              <w:rPr>
                <w:rFonts w:ascii="FS Me" w:hAnsi="FS Me"/>
                <w:sz w:val="18"/>
                <w:szCs w:val="18"/>
                <w:lang w:val="et-EE"/>
              </w:rPr>
            </w:pPr>
          </w:p>
        </w:tc>
      </w:tr>
      <w:tr w:rsidR="00125439" w:rsidRPr="009739BF" w14:paraId="303157BB" w14:textId="77777777" w:rsidTr="00125439">
        <w:tc>
          <w:tcPr>
            <w:tcW w:w="2185" w:type="dxa"/>
          </w:tcPr>
          <w:p w14:paraId="37363FD0" w14:textId="77777777" w:rsidR="00125439" w:rsidRPr="009739BF" w:rsidRDefault="00125439" w:rsidP="008B36C3">
            <w:pPr>
              <w:rPr>
                <w:rFonts w:ascii="FS Me" w:hAnsi="FS Me"/>
                <w:sz w:val="18"/>
                <w:szCs w:val="18"/>
                <w:lang w:val="et-EE"/>
              </w:rPr>
            </w:pPr>
          </w:p>
        </w:tc>
        <w:tc>
          <w:tcPr>
            <w:tcW w:w="2135" w:type="dxa"/>
          </w:tcPr>
          <w:p w14:paraId="373AE5B4" w14:textId="4996E57E" w:rsidR="00125439" w:rsidRPr="009739BF" w:rsidRDefault="00125439" w:rsidP="008B36C3">
            <w:pPr>
              <w:rPr>
                <w:rFonts w:ascii="FS Me" w:hAnsi="FS Me"/>
                <w:sz w:val="18"/>
                <w:szCs w:val="18"/>
                <w:lang w:val="et-EE"/>
              </w:rPr>
            </w:pPr>
            <w:r w:rsidRPr="009739BF">
              <w:rPr>
                <w:rFonts w:ascii="FS Me" w:hAnsi="FS Me"/>
                <w:sz w:val="18"/>
                <w:szCs w:val="18"/>
                <w:lang w:val="et-EE"/>
              </w:rPr>
              <w:t>13. Juhtorganite sooline mitmekesisus</w:t>
            </w:r>
          </w:p>
        </w:tc>
        <w:tc>
          <w:tcPr>
            <w:tcW w:w="2905" w:type="dxa"/>
          </w:tcPr>
          <w:p w14:paraId="698B0DBE" w14:textId="1CC5C8D4" w:rsidR="00125439" w:rsidRPr="009739BF" w:rsidRDefault="00125439" w:rsidP="008B36C3">
            <w:pPr>
              <w:rPr>
                <w:rFonts w:ascii="FS Me" w:hAnsi="FS Me"/>
                <w:sz w:val="18"/>
                <w:szCs w:val="18"/>
                <w:lang w:val="et-EE"/>
              </w:rPr>
            </w:pPr>
            <w:r w:rsidRPr="009739BF">
              <w:rPr>
                <w:rFonts w:ascii="FS Me" w:hAnsi="FS Me"/>
                <w:sz w:val="18"/>
                <w:szCs w:val="18"/>
                <w:lang w:val="et-EE"/>
              </w:rPr>
              <w:t>Juhtorganite nais- ja meesliikmete keskmine suhtarv investeerimisobjektiks olevates äriühingutes, mis väljendub protsendina kõigist juhtorgani liikmetest</w:t>
            </w:r>
          </w:p>
        </w:tc>
        <w:tc>
          <w:tcPr>
            <w:tcW w:w="1701" w:type="dxa"/>
          </w:tcPr>
          <w:p w14:paraId="438D1660" w14:textId="059BC541"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40%</w:t>
            </w:r>
          </w:p>
        </w:tc>
        <w:tc>
          <w:tcPr>
            <w:tcW w:w="1701" w:type="dxa"/>
          </w:tcPr>
          <w:p w14:paraId="169B2CAF" w14:textId="3B212591"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36,5%</w:t>
            </w:r>
          </w:p>
        </w:tc>
        <w:tc>
          <w:tcPr>
            <w:tcW w:w="3934" w:type="dxa"/>
            <w:vMerge/>
          </w:tcPr>
          <w:p w14:paraId="64AF3280" w14:textId="77777777" w:rsidR="00125439" w:rsidRPr="009739BF" w:rsidRDefault="00125439" w:rsidP="008B36C3">
            <w:pPr>
              <w:rPr>
                <w:rFonts w:ascii="FS Me" w:hAnsi="FS Me"/>
                <w:sz w:val="18"/>
                <w:szCs w:val="18"/>
                <w:lang w:val="et-EE"/>
              </w:rPr>
            </w:pPr>
          </w:p>
        </w:tc>
      </w:tr>
      <w:tr w:rsidR="00125439" w:rsidRPr="009739BF" w14:paraId="06B791D4" w14:textId="77777777" w:rsidTr="00125439">
        <w:tc>
          <w:tcPr>
            <w:tcW w:w="2185" w:type="dxa"/>
          </w:tcPr>
          <w:p w14:paraId="43E11CE0" w14:textId="77777777" w:rsidR="00125439" w:rsidRPr="009739BF" w:rsidRDefault="00125439" w:rsidP="008B36C3">
            <w:pPr>
              <w:rPr>
                <w:rFonts w:ascii="FS Me" w:hAnsi="FS Me"/>
                <w:sz w:val="18"/>
                <w:szCs w:val="18"/>
                <w:lang w:val="et-EE"/>
              </w:rPr>
            </w:pPr>
          </w:p>
        </w:tc>
        <w:tc>
          <w:tcPr>
            <w:tcW w:w="2135" w:type="dxa"/>
          </w:tcPr>
          <w:p w14:paraId="2E1D84EF" w14:textId="79402C6D" w:rsidR="00125439" w:rsidRPr="009739BF" w:rsidRDefault="00125439" w:rsidP="008B36C3">
            <w:pPr>
              <w:rPr>
                <w:rFonts w:ascii="FS Me" w:hAnsi="FS Me"/>
                <w:sz w:val="18"/>
                <w:szCs w:val="18"/>
                <w:lang w:val="et-EE"/>
              </w:rPr>
            </w:pPr>
            <w:r w:rsidRPr="009739BF">
              <w:rPr>
                <w:rFonts w:ascii="FS Me" w:hAnsi="FS Me"/>
                <w:sz w:val="18"/>
                <w:szCs w:val="18"/>
                <w:lang w:val="et-EE"/>
              </w:rPr>
              <w:t>14. Kokkupuude vastuoluliste relvadega (jalaväe vastased miinid, kobarlahingumoon, keemia- ja bioloogilised relvad)</w:t>
            </w:r>
          </w:p>
        </w:tc>
        <w:tc>
          <w:tcPr>
            <w:tcW w:w="2905" w:type="dxa"/>
          </w:tcPr>
          <w:p w14:paraId="3D818A35" w14:textId="531DAC0A" w:rsidR="00125439" w:rsidRPr="009739BF" w:rsidRDefault="00125439" w:rsidP="008B36C3">
            <w:pPr>
              <w:rPr>
                <w:rFonts w:ascii="FS Me" w:hAnsi="FS Me"/>
                <w:sz w:val="18"/>
                <w:szCs w:val="18"/>
                <w:lang w:val="et-EE"/>
              </w:rPr>
            </w:pPr>
            <w:r w:rsidRPr="009739BF">
              <w:rPr>
                <w:rFonts w:ascii="FS Me" w:hAnsi="FS Me"/>
                <w:sz w:val="18"/>
                <w:szCs w:val="18"/>
                <w:lang w:val="et-EE"/>
              </w:rPr>
              <w:t>Selliste investeeringute osakaal, mis on tehtud investeerimisobjektiks olevatesse äriühingutesse, mis on seotud vastuoluliste relvade tootmise või müügiga</w:t>
            </w:r>
          </w:p>
        </w:tc>
        <w:tc>
          <w:tcPr>
            <w:tcW w:w="1701" w:type="dxa"/>
          </w:tcPr>
          <w:p w14:paraId="0A458286" w14:textId="2B400C92" w:rsidR="00125439" w:rsidRPr="009739BF" w:rsidRDefault="00125439" w:rsidP="008B36C3">
            <w:pPr>
              <w:rPr>
                <w:rFonts w:ascii="FS Me" w:hAnsi="FS Me"/>
                <w:sz w:val="18"/>
                <w:szCs w:val="18"/>
                <w:lang w:val="et-EE"/>
              </w:rPr>
            </w:pPr>
            <w:r w:rsidRPr="009739BF">
              <w:rPr>
                <w:rFonts w:ascii="FS Me" w:hAnsi="FS Me" w:cs="Arial"/>
                <w:color w:val="000000"/>
                <w:sz w:val="18"/>
                <w:szCs w:val="18"/>
                <w:lang w:val="et-EE"/>
              </w:rPr>
              <w:t>0%</w:t>
            </w:r>
          </w:p>
        </w:tc>
        <w:tc>
          <w:tcPr>
            <w:tcW w:w="1701" w:type="dxa"/>
          </w:tcPr>
          <w:p w14:paraId="2D9FF4BD" w14:textId="1A4FBB7F" w:rsidR="00125439" w:rsidRPr="009739BF" w:rsidRDefault="00125439" w:rsidP="008B36C3">
            <w:pPr>
              <w:rPr>
                <w:rFonts w:ascii="FS Me" w:hAnsi="FS Me"/>
                <w:sz w:val="18"/>
                <w:szCs w:val="18"/>
                <w:lang w:val="et-EE"/>
              </w:rPr>
            </w:pPr>
            <w:r w:rsidRPr="009739BF">
              <w:rPr>
                <w:rFonts w:ascii="FS Me" w:hAnsi="FS Me" w:cstheme="minorHAnsi"/>
                <w:sz w:val="18"/>
                <w:szCs w:val="18"/>
                <w:lang w:val="et-EE"/>
              </w:rPr>
              <w:t>0,0%</w:t>
            </w:r>
          </w:p>
        </w:tc>
        <w:tc>
          <w:tcPr>
            <w:tcW w:w="3934" w:type="dxa"/>
            <w:vMerge/>
          </w:tcPr>
          <w:p w14:paraId="07669D92" w14:textId="77777777" w:rsidR="00125439" w:rsidRPr="009739BF" w:rsidRDefault="00125439" w:rsidP="008B36C3">
            <w:pPr>
              <w:rPr>
                <w:rFonts w:ascii="FS Me" w:hAnsi="FS Me"/>
                <w:sz w:val="18"/>
                <w:szCs w:val="18"/>
                <w:lang w:val="et-EE"/>
              </w:rPr>
            </w:pPr>
          </w:p>
        </w:tc>
      </w:tr>
    </w:tbl>
    <w:p w14:paraId="13142F6D" w14:textId="7AACE6E4" w:rsidR="001A0E32" w:rsidRPr="009739BF" w:rsidRDefault="001A0E32" w:rsidP="001A0E32">
      <w:pPr>
        <w:rPr>
          <w:b/>
          <w:lang w:val="et-EE"/>
        </w:rPr>
      </w:pPr>
    </w:p>
    <w:p w14:paraId="5622A4E0" w14:textId="77777777" w:rsidR="001A0E32" w:rsidRPr="009739BF" w:rsidRDefault="001A0E32">
      <w:pPr>
        <w:rPr>
          <w:b/>
          <w:lang w:val="et-EE"/>
        </w:rPr>
      </w:pPr>
      <w:r w:rsidRPr="009739BF">
        <w:rPr>
          <w:b/>
          <w:bCs/>
          <w:lang w:val="et-EE"/>
        </w:rPr>
        <w:br w:type="page"/>
      </w:r>
    </w:p>
    <w:p w14:paraId="3B979662" w14:textId="33886840" w:rsidR="00F4562B" w:rsidRPr="009739BF" w:rsidRDefault="00F4562B" w:rsidP="001A0E32">
      <w:pPr>
        <w:rPr>
          <w:b/>
          <w:lang w:val="et-EE"/>
        </w:rPr>
      </w:pPr>
      <w:r w:rsidRPr="009739BF">
        <w:rPr>
          <w:b/>
          <w:bCs/>
          <w:lang w:val="et-EE"/>
        </w:rPr>
        <w:lastRenderedPageBreak/>
        <w:t>Riikidesse ja rahvusülestesse organisatsioonidesse tehtavate investeeringute suhtes kohaldatavad näitajad</w:t>
      </w:r>
    </w:p>
    <w:p w14:paraId="18CDDD64" w14:textId="77777777" w:rsidR="00C33A8A" w:rsidRPr="009739BF" w:rsidRDefault="00C33A8A" w:rsidP="00C33A8A">
      <w:pPr>
        <w:jc w:val="both"/>
        <w:rPr>
          <w:rFonts w:ascii="FS Me" w:hAnsi="FS Me"/>
          <w:sz w:val="22"/>
          <w:lang w:val="et-EE"/>
        </w:rPr>
      </w:pPr>
    </w:p>
    <w:tbl>
      <w:tblPr>
        <w:tblStyle w:val="TableGrid"/>
        <w:tblW w:w="0" w:type="auto"/>
        <w:tblLook w:val="04A0" w:firstRow="1" w:lastRow="0" w:firstColumn="1" w:lastColumn="0" w:noHBand="0" w:noVBand="1"/>
      </w:tblPr>
      <w:tblGrid>
        <w:gridCol w:w="2307"/>
        <w:gridCol w:w="2162"/>
        <w:gridCol w:w="2614"/>
        <w:gridCol w:w="1843"/>
        <w:gridCol w:w="1842"/>
        <w:gridCol w:w="3793"/>
      </w:tblGrid>
      <w:tr w:rsidR="00125439" w:rsidRPr="00705488" w14:paraId="16442AF1" w14:textId="77777777" w:rsidTr="00125439">
        <w:tc>
          <w:tcPr>
            <w:tcW w:w="4469" w:type="dxa"/>
            <w:gridSpan w:val="2"/>
          </w:tcPr>
          <w:p w14:paraId="493C9925" w14:textId="1FD18699" w:rsidR="00125439" w:rsidRPr="009739BF" w:rsidRDefault="00125439" w:rsidP="00D23CE4">
            <w:pPr>
              <w:rPr>
                <w:rFonts w:ascii="FS Me" w:hAnsi="FS Me"/>
                <w:b/>
                <w:sz w:val="18"/>
                <w:szCs w:val="18"/>
                <w:lang w:val="et-EE"/>
              </w:rPr>
            </w:pPr>
            <w:r w:rsidRPr="009739BF">
              <w:rPr>
                <w:rFonts w:ascii="FS Me" w:hAnsi="FS Me"/>
                <w:b/>
                <w:bCs/>
                <w:sz w:val="18"/>
                <w:szCs w:val="18"/>
                <w:lang w:val="et-EE"/>
              </w:rPr>
              <w:t>Jätkusuutlikkusele avalduva negatiivse mõju näitaja</w:t>
            </w:r>
          </w:p>
          <w:p w14:paraId="7EF37557" w14:textId="268B0B22" w:rsidR="00125439" w:rsidRPr="009739BF" w:rsidRDefault="00125439" w:rsidP="00D23CE4">
            <w:pPr>
              <w:rPr>
                <w:rFonts w:ascii="FS Me" w:hAnsi="FS Me"/>
                <w:b/>
                <w:sz w:val="18"/>
                <w:szCs w:val="18"/>
                <w:lang w:val="et-EE"/>
              </w:rPr>
            </w:pPr>
          </w:p>
        </w:tc>
        <w:tc>
          <w:tcPr>
            <w:tcW w:w="2614" w:type="dxa"/>
          </w:tcPr>
          <w:p w14:paraId="5CE99080" w14:textId="246D54F1" w:rsidR="00125439" w:rsidRPr="009739BF" w:rsidRDefault="00125439" w:rsidP="00D23CE4">
            <w:pPr>
              <w:rPr>
                <w:rFonts w:ascii="FS Me" w:hAnsi="FS Me"/>
                <w:b/>
                <w:sz w:val="18"/>
                <w:szCs w:val="18"/>
                <w:lang w:val="et-EE"/>
              </w:rPr>
            </w:pPr>
            <w:r w:rsidRPr="009739BF">
              <w:rPr>
                <w:rFonts w:ascii="FS Me" w:hAnsi="FS Me"/>
                <w:b/>
                <w:bCs/>
                <w:sz w:val="18"/>
                <w:szCs w:val="18"/>
                <w:lang w:val="et-EE"/>
              </w:rPr>
              <w:t>Mõõtühik</w:t>
            </w:r>
          </w:p>
        </w:tc>
        <w:tc>
          <w:tcPr>
            <w:tcW w:w="1843" w:type="dxa"/>
          </w:tcPr>
          <w:p w14:paraId="5FBDEDA6" w14:textId="5E90D069" w:rsidR="00125439" w:rsidRPr="009739BF" w:rsidRDefault="00125439" w:rsidP="00D23CE4">
            <w:pPr>
              <w:rPr>
                <w:rFonts w:ascii="FS Me" w:hAnsi="FS Me"/>
                <w:b/>
                <w:sz w:val="18"/>
                <w:szCs w:val="18"/>
                <w:lang w:val="et-EE"/>
              </w:rPr>
            </w:pPr>
            <w:r w:rsidRPr="009739BF">
              <w:rPr>
                <w:rFonts w:ascii="FS Me" w:hAnsi="FS Me"/>
                <w:b/>
                <w:bCs/>
                <w:sz w:val="18"/>
                <w:szCs w:val="18"/>
                <w:lang w:val="et-EE"/>
              </w:rPr>
              <w:t>Mõju 2023</w:t>
            </w:r>
          </w:p>
        </w:tc>
        <w:tc>
          <w:tcPr>
            <w:tcW w:w="1842" w:type="dxa"/>
          </w:tcPr>
          <w:p w14:paraId="07596F1F" w14:textId="0DD8F07F" w:rsidR="00125439" w:rsidRPr="009739BF" w:rsidRDefault="00125439" w:rsidP="00D23CE4">
            <w:pPr>
              <w:rPr>
                <w:rFonts w:ascii="FS Me" w:hAnsi="FS Me"/>
                <w:b/>
                <w:sz w:val="18"/>
                <w:szCs w:val="18"/>
                <w:lang w:val="et-EE"/>
              </w:rPr>
            </w:pPr>
            <w:r w:rsidRPr="009739BF">
              <w:rPr>
                <w:rFonts w:ascii="FS Me" w:hAnsi="FS Me"/>
                <w:b/>
                <w:bCs/>
                <w:sz w:val="18"/>
                <w:szCs w:val="18"/>
                <w:lang w:val="et-EE"/>
              </w:rPr>
              <w:t>Mõju 2022</w:t>
            </w:r>
          </w:p>
        </w:tc>
        <w:tc>
          <w:tcPr>
            <w:tcW w:w="3793" w:type="dxa"/>
          </w:tcPr>
          <w:p w14:paraId="20B9E2F2" w14:textId="3D9E3C89" w:rsidR="00125439" w:rsidRPr="009739BF" w:rsidRDefault="00125439" w:rsidP="00D23CE4">
            <w:pPr>
              <w:rPr>
                <w:rFonts w:ascii="FS Me" w:hAnsi="FS Me"/>
                <w:b/>
                <w:sz w:val="18"/>
                <w:szCs w:val="18"/>
                <w:lang w:val="et-EE"/>
              </w:rPr>
            </w:pPr>
            <w:r w:rsidRPr="009739BF">
              <w:rPr>
                <w:rFonts w:ascii="FS Me" w:hAnsi="FS Me"/>
                <w:b/>
                <w:bCs/>
                <w:sz w:val="18"/>
                <w:szCs w:val="18"/>
                <w:lang w:val="et-EE"/>
              </w:rPr>
              <w:t>Võetud meetmed ning järgmiseks aruandlusperioodiks kavandatud meetmed ja seatud eesmärgid</w:t>
            </w:r>
          </w:p>
        </w:tc>
      </w:tr>
      <w:tr w:rsidR="00125439" w:rsidRPr="00705488" w14:paraId="49C1909E" w14:textId="77777777" w:rsidTr="00125439">
        <w:tc>
          <w:tcPr>
            <w:tcW w:w="2307" w:type="dxa"/>
          </w:tcPr>
          <w:p w14:paraId="5D2A87B2" w14:textId="1D403A95" w:rsidR="00125439" w:rsidRPr="009739BF" w:rsidRDefault="00125439" w:rsidP="008B36C3">
            <w:pPr>
              <w:rPr>
                <w:rFonts w:ascii="FS Me" w:hAnsi="FS Me"/>
                <w:bCs/>
                <w:sz w:val="18"/>
                <w:szCs w:val="18"/>
                <w:lang w:val="et-EE"/>
              </w:rPr>
            </w:pPr>
            <w:r w:rsidRPr="009739BF">
              <w:rPr>
                <w:rFonts w:ascii="FS Me" w:hAnsi="FS Me"/>
                <w:sz w:val="18"/>
                <w:szCs w:val="18"/>
                <w:lang w:val="et-EE"/>
              </w:rPr>
              <w:t>Keskkonnamõju</w:t>
            </w:r>
          </w:p>
        </w:tc>
        <w:tc>
          <w:tcPr>
            <w:tcW w:w="2162" w:type="dxa"/>
          </w:tcPr>
          <w:p w14:paraId="43A49E2B" w14:textId="78FAEB00" w:rsidR="00125439" w:rsidRPr="009739BF" w:rsidRDefault="00125439" w:rsidP="008B36C3">
            <w:pPr>
              <w:rPr>
                <w:rFonts w:ascii="FS Me" w:hAnsi="FS Me"/>
                <w:bCs/>
                <w:sz w:val="18"/>
                <w:szCs w:val="18"/>
                <w:lang w:val="et-EE"/>
              </w:rPr>
            </w:pPr>
            <w:r w:rsidRPr="009739BF">
              <w:rPr>
                <w:rFonts w:ascii="FS Me" w:hAnsi="FS Me"/>
                <w:sz w:val="18"/>
                <w:szCs w:val="18"/>
                <w:lang w:val="et-EE"/>
              </w:rPr>
              <w:t>15. Kasvuhoonegaaside heitemahukus</w:t>
            </w:r>
          </w:p>
        </w:tc>
        <w:tc>
          <w:tcPr>
            <w:tcW w:w="2614" w:type="dxa"/>
          </w:tcPr>
          <w:p w14:paraId="1D549DAE" w14:textId="1945A0AD" w:rsidR="00125439" w:rsidRPr="009739BF" w:rsidRDefault="00125439" w:rsidP="008B36C3">
            <w:pPr>
              <w:rPr>
                <w:rFonts w:ascii="FS Me" w:hAnsi="FS Me"/>
                <w:bCs/>
                <w:sz w:val="18"/>
                <w:szCs w:val="18"/>
                <w:lang w:val="et-EE"/>
              </w:rPr>
            </w:pPr>
            <w:r w:rsidRPr="009739BF">
              <w:rPr>
                <w:rFonts w:ascii="FS Me" w:hAnsi="FS Me"/>
                <w:sz w:val="18"/>
                <w:szCs w:val="18"/>
                <w:lang w:val="et-EE"/>
              </w:rPr>
              <w:t>Kasvuhoonegaaside heitemahukus investeerimisobjektiks olevates riikides</w:t>
            </w:r>
          </w:p>
        </w:tc>
        <w:tc>
          <w:tcPr>
            <w:tcW w:w="1843" w:type="dxa"/>
          </w:tcPr>
          <w:p w14:paraId="01706AEB" w14:textId="3B4FCED0" w:rsidR="00125439" w:rsidRPr="009739BF" w:rsidRDefault="00125439" w:rsidP="008B36C3">
            <w:pPr>
              <w:rPr>
                <w:rFonts w:ascii="FS Me" w:hAnsi="FS Me"/>
                <w:bCs/>
                <w:sz w:val="18"/>
                <w:szCs w:val="18"/>
                <w:lang w:val="et-EE"/>
              </w:rPr>
            </w:pPr>
            <w:r w:rsidRPr="009739BF">
              <w:rPr>
                <w:rFonts w:ascii="FS Me" w:hAnsi="FS Me"/>
                <w:sz w:val="18"/>
                <w:szCs w:val="18"/>
                <w:lang w:val="et-EE"/>
              </w:rPr>
              <w:t>330,0 tCO₂/m € SKP</w:t>
            </w:r>
          </w:p>
        </w:tc>
        <w:tc>
          <w:tcPr>
            <w:tcW w:w="1842" w:type="dxa"/>
          </w:tcPr>
          <w:p w14:paraId="5231EFAE" w14:textId="1BC9B0D4" w:rsidR="00125439" w:rsidRPr="009739BF" w:rsidRDefault="00125439" w:rsidP="008B36C3">
            <w:pPr>
              <w:rPr>
                <w:rFonts w:ascii="FS Me" w:hAnsi="FS Me"/>
                <w:bCs/>
                <w:sz w:val="18"/>
                <w:szCs w:val="18"/>
                <w:lang w:val="et-EE"/>
              </w:rPr>
            </w:pPr>
            <w:r w:rsidRPr="009739BF">
              <w:rPr>
                <w:rFonts w:ascii="FS Me" w:hAnsi="FS Me"/>
                <w:sz w:val="18"/>
                <w:szCs w:val="18"/>
                <w:lang w:val="et-EE"/>
              </w:rPr>
              <w:t>196,3 tCO₂/m € SKP</w:t>
            </w:r>
          </w:p>
        </w:tc>
        <w:tc>
          <w:tcPr>
            <w:tcW w:w="3793" w:type="dxa"/>
          </w:tcPr>
          <w:p w14:paraId="79082D5F" w14:textId="3CCCE888" w:rsidR="00125439" w:rsidRPr="009739BF" w:rsidRDefault="00125439" w:rsidP="008B36C3">
            <w:pPr>
              <w:rPr>
                <w:rFonts w:ascii="FS Me" w:hAnsi="FS Me"/>
                <w:bCs/>
                <w:sz w:val="18"/>
                <w:szCs w:val="18"/>
                <w:lang w:val="et-EE"/>
              </w:rPr>
            </w:pPr>
            <w:r w:rsidRPr="009739BF">
              <w:rPr>
                <w:rFonts w:ascii="FS Me" w:hAnsi="FS Me" w:cstheme="minorHAnsi"/>
                <w:sz w:val="18"/>
                <w:szCs w:val="18"/>
                <w:lang w:val="et-EE"/>
              </w:rPr>
              <w:t>Vt ülaltoodud tabelis keskkonnanäitajate 1–6 kohta toodud kommentaari, mis on seotud ka meie investeeringutega riikidesse ja rahvusülestesse organisatsioonidesse</w:t>
            </w:r>
          </w:p>
        </w:tc>
      </w:tr>
      <w:tr w:rsidR="00125439" w:rsidRPr="00705488" w14:paraId="596FBFCD" w14:textId="77777777" w:rsidTr="00125439">
        <w:tc>
          <w:tcPr>
            <w:tcW w:w="2307" w:type="dxa"/>
          </w:tcPr>
          <w:p w14:paraId="21D5E806" w14:textId="022C001C" w:rsidR="00125439" w:rsidRPr="009739BF" w:rsidRDefault="00125439" w:rsidP="008B36C3">
            <w:pPr>
              <w:rPr>
                <w:rFonts w:ascii="FS Me" w:hAnsi="FS Me"/>
                <w:bCs/>
                <w:sz w:val="18"/>
                <w:szCs w:val="18"/>
                <w:lang w:val="et-EE"/>
              </w:rPr>
            </w:pPr>
            <w:r w:rsidRPr="009739BF">
              <w:rPr>
                <w:rFonts w:ascii="FS Me" w:hAnsi="FS Me"/>
                <w:sz w:val="18"/>
                <w:szCs w:val="18"/>
                <w:lang w:val="et-EE"/>
              </w:rPr>
              <w:t>Sotsiaalne mõju</w:t>
            </w:r>
          </w:p>
        </w:tc>
        <w:tc>
          <w:tcPr>
            <w:tcW w:w="2162" w:type="dxa"/>
          </w:tcPr>
          <w:p w14:paraId="2632F3DD" w14:textId="7F772811" w:rsidR="00125439" w:rsidRPr="009739BF" w:rsidRDefault="00125439" w:rsidP="008B36C3">
            <w:pPr>
              <w:rPr>
                <w:rFonts w:ascii="FS Me" w:hAnsi="FS Me"/>
                <w:bCs/>
                <w:sz w:val="18"/>
                <w:szCs w:val="18"/>
                <w:lang w:val="et-EE"/>
              </w:rPr>
            </w:pPr>
            <w:r w:rsidRPr="009739BF">
              <w:rPr>
                <w:rFonts w:ascii="FS Me" w:hAnsi="FS Me"/>
                <w:sz w:val="18"/>
                <w:szCs w:val="18"/>
                <w:lang w:val="et-EE"/>
              </w:rPr>
              <w:t>16. Investeerimisobjektiks olevad riigid, kus esineb sotsiaalseid rikkumisi</w:t>
            </w:r>
          </w:p>
        </w:tc>
        <w:tc>
          <w:tcPr>
            <w:tcW w:w="2614" w:type="dxa"/>
          </w:tcPr>
          <w:p w14:paraId="0BC23C48" w14:textId="407DACC8" w:rsidR="00125439" w:rsidRPr="009739BF" w:rsidRDefault="00125439" w:rsidP="008B36C3">
            <w:pPr>
              <w:rPr>
                <w:rFonts w:ascii="FS Me" w:hAnsi="FS Me"/>
                <w:bCs/>
                <w:sz w:val="18"/>
                <w:szCs w:val="18"/>
                <w:lang w:val="et-EE"/>
              </w:rPr>
            </w:pPr>
            <w:r w:rsidRPr="009739BF">
              <w:rPr>
                <w:rFonts w:ascii="FS Me" w:hAnsi="FS Me"/>
                <w:sz w:val="18"/>
                <w:szCs w:val="18"/>
                <w:lang w:val="et-EE"/>
              </w:rPr>
              <w:t>Selliste investeerimisobjektiks olevate riikide arv, kus esineb sotsiaalseid rikkumisi (absoluutarv ja suhteline arv jagatuna kõigi investeerimisobjektiks olevate riikidega), nagu on osutatud rahvusvahelistes lepingutes ja konventsioonides, ÜRO põhimõtetes ning vajaduse korral riigisisestes õigusaktides</w:t>
            </w:r>
          </w:p>
        </w:tc>
        <w:tc>
          <w:tcPr>
            <w:tcW w:w="1843" w:type="dxa"/>
          </w:tcPr>
          <w:p w14:paraId="55D141E5" w14:textId="1F117C8A" w:rsidR="00125439" w:rsidRPr="009739BF" w:rsidRDefault="00125439" w:rsidP="008B36C3">
            <w:pPr>
              <w:rPr>
                <w:rFonts w:ascii="FS Me" w:hAnsi="FS Me"/>
                <w:bCs/>
                <w:sz w:val="18"/>
                <w:szCs w:val="18"/>
                <w:lang w:val="et-EE"/>
              </w:rPr>
            </w:pPr>
            <w:r w:rsidRPr="009739BF">
              <w:rPr>
                <w:rFonts w:ascii="FS Me" w:hAnsi="FS Me"/>
                <w:sz w:val="18"/>
                <w:szCs w:val="18"/>
                <w:lang w:val="et-EE"/>
              </w:rPr>
              <w:t>0</w:t>
            </w:r>
          </w:p>
        </w:tc>
        <w:tc>
          <w:tcPr>
            <w:tcW w:w="1842" w:type="dxa"/>
          </w:tcPr>
          <w:p w14:paraId="358F4536" w14:textId="53BFC705" w:rsidR="00125439" w:rsidRPr="009739BF" w:rsidRDefault="00125439" w:rsidP="008B36C3">
            <w:pPr>
              <w:rPr>
                <w:rFonts w:ascii="FS Me" w:hAnsi="FS Me"/>
                <w:bCs/>
                <w:sz w:val="18"/>
                <w:szCs w:val="18"/>
                <w:lang w:val="et-EE"/>
              </w:rPr>
            </w:pPr>
            <w:r w:rsidRPr="009739BF">
              <w:rPr>
                <w:rFonts w:ascii="FS Me" w:hAnsi="FS Me"/>
                <w:sz w:val="18"/>
                <w:szCs w:val="18"/>
                <w:lang w:val="et-EE"/>
              </w:rPr>
              <w:t>0</w:t>
            </w:r>
          </w:p>
        </w:tc>
        <w:tc>
          <w:tcPr>
            <w:tcW w:w="3793" w:type="dxa"/>
          </w:tcPr>
          <w:p w14:paraId="5C558F85" w14:textId="03F13750" w:rsidR="00125439" w:rsidRPr="009739BF" w:rsidRDefault="00125439" w:rsidP="008B36C3">
            <w:pPr>
              <w:rPr>
                <w:rFonts w:ascii="FS Me" w:hAnsi="FS Me"/>
                <w:bCs/>
                <w:sz w:val="18"/>
                <w:szCs w:val="18"/>
                <w:lang w:val="et-EE"/>
              </w:rPr>
            </w:pPr>
            <w:r w:rsidRPr="009739BF">
              <w:rPr>
                <w:rFonts w:ascii="FS Me" w:hAnsi="FS Me" w:cstheme="minorHAnsi"/>
                <w:sz w:val="18"/>
                <w:szCs w:val="18"/>
                <w:lang w:val="et-EE"/>
              </w:rPr>
              <w:t>Vt ülaltoodud tabelis sotsiaalsete näitajate 10–14 kohta toodud kommentaari, mis on seotud ka meie investeeringutega riikidesse ja rahvusülestesse organisatsioonidesse</w:t>
            </w:r>
          </w:p>
        </w:tc>
      </w:tr>
    </w:tbl>
    <w:p w14:paraId="18C69164" w14:textId="77777777" w:rsidR="001216F4" w:rsidRPr="009739BF" w:rsidRDefault="001216F4" w:rsidP="001A0E32">
      <w:pPr>
        <w:rPr>
          <w:rFonts w:ascii="FS Me" w:hAnsi="FS Me"/>
          <w:bCs/>
          <w:sz w:val="18"/>
          <w:szCs w:val="18"/>
          <w:lang w:val="et-EE"/>
        </w:rPr>
      </w:pPr>
    </w:p>
    <w:p w14:paraId="77DD1716" w14:textId="77777777" w:rsidR="00C056ED" w:rsidRPr="009739BF" w:rsidRDefault="00C056ED">
      <w:pPr>
        <w:rPr>
          <w:rFonts w:ascii="FS Me" w:hAnsi="FS Me"/>
          <w:bCs/>
          <w:sz w:val="18"/>
          <w:szCs w:val="18"/>
          <w:lang w:val="et-EE"/>
        </w:rPr>
      </w:pPr>
      <w:r w:rsidRPr="009739BF">
        <w:rPr>
          <w:rFonts w:ascii="FS Me" w:hAnsi="FS Me"/>
          <w:sz w:val="18"/>
          <w:szCs w:val="18"/>
          <w:lang w:val="et-EE"/>
        </w:rPr>
        <w:br w:type="page"/>
      </w:r>
    </w:p>
    <w:p w14:paraId="03E3B562" w14:textId="77777777" w:rsidR="00B463F0" w:rsidRPr="009739BF" w:rsidRDefault="00B463F0" w:rsidP="001A0E32">
      <w:pPr>
        <w:rPr>
          <w:b/>
          <w:lang w:val="et-EE"/>
        </w:rPr>
      </w:pPr>
      <w:r w:rsidRPr="009739BF">
        <w:rPr>
          <w:b/>
          <w:bCs/>
          <w:lang w:val="et-EE"/>
        </w:rPr>
        <w:lastRenderedPageBreak/>
        <w:t>Kinnisvarainvesteeringute suhtes kohaldatavad näitajad</w:t>
      </w:r>
    </w:p>
    <w:p w14:paraId="51E9E711" w14:textId="77777777" w:rsidR="001216F4" w:rsidRPr="009739BF" w:rsidRDefault="001216F4" w:rsidP="001216F4">
      <w:pPr>
        <w:jc w:val="both"/>
        <w:rPr>
          <w:rFonts w:ascii="FS Me" w:hAnsi="FS Me"/>
          <w:sz w:val="22"/>
          <w:lang w:val="et-EE"/>
        </w:rPr>
      </w:pPr>
    </w:p>
    <w:tbl>
      <w:tblPr>
        <w:tblStyle w:val="TableGrid"/>
        <w:tblW w:w="0" w:type="auto"/>
        <w:tblLook w:val="04A0" w:firstRow="1" w:lastRow="0" w:firstColumn="1" w:lastColumn="0" w:noHBand="0" w:noVBand="1"/>
      </w:tblPr>
      <w:tblGrid>
        <w:gridCol w:w="2274"/>
        <w:gridCol w:w="2143"/>
        <w:gridCol w:w="2524"/>
        <w:gridCol w:w="1843"/>
        <w:gridCol w:w="1772"/>
        <w:gridCol w:w="4005"/>
      </w:tblGrid>
      <w:tr w:rsidR="00125439" w:rsidRPr="00705488" w14:paraId="693E663D" w14:textId="77777777" w:rsidTr="00125439">
        <w:tc>
          <w:tcPr>
            <w:tcW w:w="4417" w:type="dxa"/>
            <w:gridSpan w:val="2"/>
          </w:tcPr>
          <w:p w14:paraId="6F11D269" w14:textId="4E60C1AF" w:rsidR="00125439" w:rsidRPr="009739BF" w:rsidRDefault="00125439" w:rsidP="00D23CE4">
            <w:pPr>
              <w:rPr>
                <w:rFonts w:ascii="FS Me" w:hAnsi="FS Me"/>
                <w:b/>
                <w:sz w:val="18"/>
                <w:szCs w:val="18"/>
                <w:lang w:val="et-EE"/>
              </w:rPr>
            </w:pPr>
            <w:r w:rsidRPr="009739BF">
              <w:rPr>
                <w:rFonts w:ascii="FS Me" w:hAnsi="FS Me"/>
                <w:b/>
                <w:bCs/>
                <w:sz w:val="18"/>
                <w:szCs w:val="18"/>
                <w:lang w:val="et-EE"/>
              </w:rPr>
              <w:t xml:space="preserve">Jätkusuutlikkusele avalduva negatiivse mõju näitaja </w:t>
            </w:r>
          </w:p>
        </w:tc>
        <w:tc>
          <w:tcPr>
            <w:tcW w:w="2524" w:type="dxa"/>
          </w:tcPr>
          <w:p w14:paraId="19C1FB8F" w14:textId="51ADC3E6" w:rsidR="00125439" w:rsidRPr="009739BF" w:rsidRDefault="00125439" w:rsidP="00D23CE4">
            <w:pPr>
              <w:rPr>
                <w:rFonts w:ascii="FS Me" w:hAnsi="FS Me"/>
                <w:b/>
                <w:sz w:val="18"/>
                <w:szCs w:val="18"/>
                <w:lang w:val="et-EE"/>
              </w:rPr>
            </w:pPr>
            <w:r w:rsidRPr="009739BF">
              <w:rPr>
                <w:rFonts w:ascii="FS Me" w:hAnsi="FS Me"/>
                <w:b/>
                <w:bCs/>
                <w:sz w:val="18"/>
                <w:szCs w:val="18"/>
                <w:lang w:val="et-EE"/>
              </w:rPr>
              <w:t>Mõõtühik</w:t>
            </w:r>
          </w:p>
        </w:tc>
        <w:tc>
          <w:tcPr>
            <w:tcW w:w="1843" w:type="dxa"/>
          </w:tcPr>
          <w:p w14:paraId="41DC68B4" w14:textId="43A13B54" w:rsidR="00125439" w:rsidRPr="009739BF" w:rsidRDefault="00125439" w:rsidP="00D23CE4">
            <w:pPr>
              <w:rPr>
                <w:rFonts w:ascii="FS Me" w:hAnsi="FS Me"/>
                <w:b/>
                <w:sz w:val="18"/>
                <w:szCs w:val="18"/>
                <w:lang w:val="et-EE"/>
              </w:rPr>
            </w:pPr>
            <w:r w:rsidRPr="009739BF">
              <w:rPr>
                <w:rFonts w:ascii="FS Me" w:hAnsi="FS Me"/>
                <w:b/>
                <w:bCs/>
                <w:sz w:val="18"/>
                <w:szCs w:val="18"/>
                <w:lang w:val="et-EE"/>
              </w:rPr>
              <w:t>Mõju 2023</w:t>
            </w:r>
          </w:p>
        </w:tc>
        <w:tc>
          <w:tcPr>
            <w:tcW w:w="1772" w:type="dxa"/>
          </w:tcPr>
          <w:p w14:paraId="3FA98D5E" w14:textId="6118B7FD" w:rsidR="00125439" w:rsidRPr="009739BF" w:rsidRDefault="00125439" w:rsidP="00D23CE4">
            <w:pPr>
              <w:rPr>
                <w:rFonts w:ascii="FS Me" w:hAnsi="FS Me"/>
                <w:b/>
                <w:sz w:val="18"/>
                <w:szCs w:val="18"/>
                <w:lang w:val="et-EE"/>
              </w:rPr>
            </w:pPr>
            <w:r w:rsidRPr="009739BF">
              <w:rPr>
                <w:rFonts w:ascii="FS Me" w:hAnsi="FS Me"/>
                <w:b/>
                <w:bCs/>
                <w:sz w:val="18"/>
                <w:szCs w:val="18"/>
                <w:lang w:val="et-EE"/>
              </w:rPr>
              <w:t>Mõju 2022</w:t>
            </w:r>
          </w:p>
        </w:tc>
        <w:tc>
          <w:tcPr>
            <w:tcW w:w="4005" w:type="dxa"/>
          </w:tcPr>
          <w:p w14:paraId="50BC776D" w14:textId="598D2442" w:rsidR="00125439" w:rsidRPr="009739BF" w:rsidRDefault="00125439" w:rsidP="00D23CE4">
            <w:pPr>
              <w:rPr>
                <w:rFonts w:ascii="FS Me" w:hAnsi="FS Me"/>
                <w:b/>
                <w:sz w:val="18"/>
                <w:szCs w:val="18"/>
                <w:lang w:val="et-EE"/>
              </w:rPr>
            </w:pPr>
            <w:r w:rsidRPr="009739BF">
              <w:rPr>
                <w:rFonts w:ascii="FS Me" w:hAnsi="FS Me"/>
                <w:b/>
                <w:bCs/>
                <w:sz w:val="18"/>
                <w:szCs w:val="18"/>
                <w:lang w:val="et-EE"/>
              </w:rPr>
              <w:t>Võetud meetmed ning järgmiseks aruandlusperioodiks kavandatud meetmed ja seatud eesmärgid</w:t>
            </w:r>
          </w:p>
        </w:tc>
      </w:tr>
      <w:tr w:rsidR="00125439" w:rsidRPr="00705488" w14:paraId="04B7F030" w14:textId="77777777" w:rsidTr="00125439">
        <w:tc>
          <w:tcPr>
            <w:tcW w:w="2274" w:type="dxa"/>
          </w:tcPr>
          <w:p w14:paraId="19E5239B" w14:textId="22B8D96B" w:rsidR="00125439" w:rsidRPr="009739BF" w:rsidRDefault="00125439" w:rsidP="008B36C3">
            <w:pPr>
              <w:rPr>
                <w:rFonts w:ascii="FS Me" w:hAnsi="FS Me"/>
                <w:bCs/>
                <w:sz w:val="18"/>
                <w:szCs w:val="18"/>
                <w:lang w:val="et-EE"/>
              </w:rPr>
            </w:pPr>
            <w:r w:rsidRPr="009739BF">
              <w:rPr>
                <w:rFonts w:ascii="FS Me" w:hAnsi="FS Me"/>
                <w:sz w:val="18"/>
                <w:szCs w:val="18"/>
                <w:lang w:val="et-EE"/>
              </w:rPr>
              <w:t>Fossiilkütused</w:t>
            </w:r>
          </w:p>
        </w:tc>
        <w:tc>
          <w:tcPr>
            <w:tcW w:w="2143" w:type="dxa"/>
          </w:tcPr>
          <w:p w14:paraId="0693A4F0" w14:textId="3D5AF1F8" w:rsidR="00125439" w:rsidRPr="009739BF" w:rsidRDefault="00125439" w:rsidP="008B36C3">
            <w:pPr>
              <w:rPr>
                <w:rFonts w:ascii="FS Me" w:hAnsi="FS Me"/>
                <w:bCs/>
                <w:sz w:val="18"/>
                <w:szCs w:val="18"/>
                <w:lang w:val="et-EE"/>
              </w:rPr>
            </w:pPr>
            <w:r w:rsidRPr="009739BF">
              <w:rPr>
                <w:rFonts w:ascii="FS Me" w:hAnsi="FS Me"/>
                <w:sz w:val="18"/>
                <w:szCs w:val="18"/>
                <w:lang w:val="et-EE"/>
              </w:rPr>
              <w:t>17. Kokkupuude fossiilkütustega kinnisvara kaudu</w:t>
            </w:r>
          </w:p>
        </w:tc>
        <w:tc>
          <w:tcPr>
            <w:tcW w:w="2524" w:type="dxa"/>
          </w:tcPr>
          <w:p w14:paraId="692B446E" w14:textId="26BBC6DD" w:rsidR="00125439" w:rsidRPr="009739BF" w:rsidRDefault="00125439" w:rsidP="008B36C3">
            <w:pPr>
              <w:rPr>
                <w:rFonts w:ascii="FS Me" w:hAnsi="FS Me"/>
                <w:bCs/>
                <w:sz w:val="18"/>
                <w:szCs w:val="18"/>
                <w:lang w:val="et-EE"/>
              </w:rPr>
            </w:pPr>
            <w:r w:rsidRPr="009739BF">
              <w:rPr>
                <w:rFonts w:ascii="FS Me" w:hAnsi="FS Me"/>
                <w:sz w:val="18"/>
                <w:szCs w:val="18"/>
                <w:lang w:val="et-EE"/>
              </w:rPr>
              <w:t>Fossiilkütuste kaevandamise, ladustamise, transpordi või tootmisega seotud kinnisvarasse tehtud investeeringute osakaal</w:t>
            </w:r>
          </w:p>
        </w:tc>
        <w:tc>
          <w:tcPr>
            <w:tcW w:w="1843" w:type="dxa"/>
          </w:tcPr>
          <w:p w14:paraId="3BED2779" w14:textId="36679B07" w:rsidR="00125439" w:rsidRPr="009739BF" w:rsidRDefault="00125439" w:rsidP="008B36C3">
            <w:pPr>
              <w:rPr>
                <w:rFonts w:ascii="FS Me" w:hAnsi="FS Me"/>
                <w:bCs/>
                <w:sz w:val="18"/>
                <w:szCs w:val="18"/>
                <w:lang w:val="et-EE"/>
              </w:rPr>
            </w:pPr>
            <w:r w:rsidRPr="009739BF">
              <w:rPr>
                <w:rFonts w:ascii="FS Me" w:hAnsi="FS Me"/>
                <w:sz w:val="18"/>
                <w:szCs w:val="18"/>
                <w:lang w:val="et-EE"/>
              </w:rPr>
              <w:t>0,0%</w:t>
            </w:r>
          </w:p>
        </w:tc>
        <w:tc>
          <w:tcPr>
            <w:tcW w:w="1772" w:type="dxa"/>
          </w:tcPr>
          <w:p w14:paraId="14101BEF" w14:textId="4F3DC97D" w:rsidR="00125439" w:rsidRPr="009739BF" w:rsidRDefault="00125439" w:rsidP="008B36C3">
            <w:pPr>
              <w:rPr>
                <w:rFonts w:ascii="FS Me" w:hAnsi="FS Me"/>
                <w:bCs/>
                <w:sz w:val="18"/>
                <w:szCs w:val="18"/>
                <w:lang w:val="et-EE"/>
              </w:rPr>
            </w:pPr>
            <w:r w:rsidRPr="009739BF">
              <w:rPr>
                <w:rFonts w:ascii="FS Me" w:hAnsi="FS Me"/>
                <w:sz w:val="18"/>
                <w:szCs w:val="18"/>
                <w:lang w:val="et-EE"/>
              </w:rPr>
              <w:t>0,0%</w:t>
            </w:r>
          </w:p>
        </w:tc>
        <w:tc>
          <w:tcPr>
            <w:tcW w:w="4005" w:type="dxa"/>
            <w:vMerge w:val="restart"/>
          </w:tcPr>
          <w:p w14:paraId="7B79A4E5" w14:textId="1EB5BA14" w:rsidR="00125439" w:rsidRPr="009739BF" w:rsidRDefault="00125439" w:rsidP="008B36C3">
            <w:pPr>
              <w:rPr>
                <w:rFonts w:ascii="FS Me" w:hAnsi="FS Me"/>
                <w:bCs/>
                <w:sz w:val="18"/>
                <w:szCs w:val="18"/>
                <w:lang w:val="et-EE"/>
              </w:rPr>
            </w:pPr>
            <w:r w:rsidRPr="009739BF">
              <w:rPr>
                <w:rFonts w:ascii="FS Me" w:hAnsi="FS Me" w:cstheme="majorHAnsi"/>
                <w:sz w:val="18"/>
                <w:szCs w:val="18"/>
                <w:lang w:val="et-EE"/>
              </w:rPr>
              <w:t>Vt ülaltoodud tabelis keskkonnanäitajate 1–6 kohta toodud kommentaari, mis on seotud ka meie investeeringutega kinnisvarasse</w:t>
            </w:r>
          </w:p>
        </w:tc>
      </w:tr>
      <w:tr w:rsidR="00125439" w:rsidRPr="009739BF" w14:paraId="104E0820" w14:textId="77777777" w:rsidTr="00125439">
        <w:tc>
          <w:tcPr>
            <w:tcW w:w="2274" w:type="dxa"/>
          </w:tcPr>
          <w:p w14:paraId="1F8612D1" w14:textId="619D1F34" w:rsidR="00125439" w:rsidRPr="009739BF" w:rsidRDefault="00125439" w:rsidP="008B36C3">
            <w:pPr>
              <w:rPr>
                <w:rFonts w:ascii="FS Me" w:hAnsi="FS Me"/>
                <w:bCs/>
                <w:sz w:val="18"/>
                <w:szCs w:val="18"/>
                <w:lang w:val="et-EE"/>
              </w:rPr>
            </w:pPr>
            <w:r w:rsidRPr="009739BF">
              <w:rPr>
                <w:rFonts w:ascii="FS Me" w:hAnsi="FS Me"/>
                <w:sz w:val="18"/>
                <w:szCs w:val="18"/>
                <w:lang w:val="et-EE"/>
              </w:rPr>
              <w:t>Energiatõhusus</w:t>
            </w:r>
          </w:p>
        </w:tc>
        <w:tc>
          <w:tcPr>
            <w:tcW w:w="2143" w:type="dxa"/>
          </w:tcPr>
          <w:p w14:paraId="758CAA4C" w14:textId="479A6EA5" w:rsidR="00125439" w:rsidRPr="009739BF" w:rsidRDefault="00125439" w:rsidP="008B36C3">
            <w:pPr>
              <w:rPr>
                <w:rFonts w:ascii="FS Me" w:hAnsi="FS Me"/>
                <w:bCs/>
                <w:sz w:val="18"/>
                <w:szCs w:val="18"/>
                <w:lang w:val="et-EE"/>
              </w:rPr>
            </w:pPr>
            <w:r w:rsidRPr="009739BF">
              <w:rPr>
                <w:rFonts w:ascii="FS Me" w:hAnsi="FS Me"/>
                <w:sz w:val="18"/>
                <w:szCs w:val="18"/>
                <w:lang w:val="et-EE"/>
              </w:rPr>
              <w:t>18. Kokkupuude kehva energiatõhususega kinnisvaraga</w:t>
            </w:r>
          </w:p>
        </w:tc>
        <w:tc>
          <w:tcPr>
            <w:tcW w:w="2524" w:type="dxa"/>
          </w:tcPr>
          <w:p w14:paraId="00687FD5" w14:textId="77777777" w:rsidR="00125439" w:rsidRPr="009739BF" w:rsidRDefault="00125439" w:rsidP="008B36C3">
            <w:pPr>
              <w:rPr>
                <w:rFonts w:ascii="FS Me" w:hAnsi="FS Me"/>
                <w:bCs/>
                <w:sz w:val="18"/>
                <w:szCs w:val="18"/>
                <w:lang w:val="et-EE"/>
              </w:rPr>
            </w:pPr>
            <w:r w:rsidRPr="009739BF">
              <w:rPr>
                <w:rFonts w:ascii="FS Me" w:hAnsi="FS Me"/>
                <w:sz w:val="18"/>
                <w:szCs w:val="18"/>
                <w:lang w:val="et-EE"/>
              </w:rPr>
              <w:t>Kehva energiatõhususega kinnisvarasse tehtud investeeringute osakaal</w:t>
            </w:r>
          </w:p>
          <w:p w14:paraId="306E25AA" w14:textId="741FBB7C" w:rsidR="00125439" w:rsidRPr="009739BF" w:rsidRDefault="00125439" w:rsidP="008B36C3">
            <w:pPr>
              <w:rPr>
                <w:rFonts w:ascii="FS Me" w:hAnsi="FS Me"/>
                <w:bCs/>
                <w:sz w:val="18"/>
                <w:szCs w:val="18"/>
                <w:lang w:val="et-EE"/>
              </w:rPr>
            </w:pPr>
          </w:p>
        </w:tc>
        <w:tc>
          <w:tcPr>
            <w:tcW w:w="1843" w:type="dxa"/>
          </w:tcPr>
          <w:p w14:paraId="0CA7AE92" w14:textId="556D8C4E" w:rsidR="00125439" w:rsidRPr="009739BF" w:rsidRDefault="00125439" w:rsidP="008B36C3">
            <w:pPr>
              <w:rPr>
                <w:rFonts w:ascii="FS Me" w:hAnsi="FS Me"/>
                <w:bCs/>
                <w:sz w:val="18"/>
                <w:szCs w:val="18"/>
                <w:lang w:val="et-EE"/>
              </w:rPr>
            </w:pPr>
            <w:r w:rsidRPr="009739BF">
              <w:rPr>
                <w:rFonts w:ascii="FS Me" w:hAnsi="FS Me"/>
                <w:sz w:val="18"/>
                <w:szCs w:val="18"/>
                <w:lang w:val="et-EE"/>
              </w:rPr>
              <w:t>0,0%</w:t>
            </w:r>
          </w:p>
        </w:tc>
        <w:tc>
          <w:tcPr>
            <w:tcW w:w="1772" w:type="dxa"/>
          </w:tcPr>
          <w:p w14:paraId="17E0D947" w14:textId="7070281C" w:rsidR="00125439" w:rsidRPr="009739BF" w:rsidRDefault="00125439" w:rsidP="008B36C3">
            <w:pPr>
              <w:rPr>
                <w:rFonts w:ascii="FS Me" w:hAnsi="FS Me"/>
                <w:bCs/>
                <w:sz w:val="18"/>
                <w:szCs w:val="18"/>
                <w:lang w:val="et-EE"/>
              </w:rPr>
            </w:pPr>
            <w:r w:rsidRPr="009739BF">
              <w:rPr>
                <w:rFonts w:ascii="FS Me" w:hAnsi="FS Me"/>
                <w:sz w:val="18"/>
                <w:szCs w:val="18"/>
                <w:lang w:val="et-EE"/>
              </w:rPr>
              <w:t>0,0%</w:t>
            </w:r>
          </w:p>
        </w:tc>
        <w:tc>
          <w:tcPr>
            <w:tcW w:w="4005" w:type="dxa"/>
            <w:vMerge/>
          </w:tcPr>
          <w:p w14:paraId="13827EFA" w14:textId="77777777" w:rsidR="00125439" w:rsidRPr="009739BF" w:rsidRDefault="00125439" w:rsidP="008B36C3">
            <w:pPr>
              <w:rPr>
                <w:rFonts w:ascii="FS Me" w:hAnsi="FS Me"/>
                <w:bCs/>
                <w:sz w:val="18"/>
                <w:szCs w:val="18"/>
                <w:lang w:val="et-EE"/>
              </w:rPr>
            </w:pPr>
          </w:p>
        </w:tc>
      </w:tr>
    </w:tbl>
    <w:p w14:paraId="74AA50DB" w14:textId="77777777" w:rsidR="00C564E3" w:rsidRPr="009739BF" w:rsidRDefault="00C564E3" w:rsidP="001A0E32">
      <w:pPr>
        <w:rPr>
          <w:rFonts w:ascii="FS Me" w:hAnsi="FS Me"/>
          <w:bCs/>
          <w:sz w:val="18"/>
          <w:szCs w:val="18"/>
          <w:lang w:val="et-EE"/>
        </w:rPr>
      </w:pPr>
    </w:p>
    <w:p w14:paraId="1798555F" w14:textId="77777777" w:rsidR="009D2184" w:rsidRPr="009739BF" w:rsidRDefault="009D2184">
      <w:pPr>
        <w:rPr>
          <w:rFonts w:ascii="FS Me" w:hAnsi="FS Me"/>
          <w:b/>
          <w:sz w:val="22"/>
          <w:lang w:val="et-EE"/>
        </w:rPr>
      </w:pPr>
      <w:r w:rsidRPr="009739BF">
        <w:rPr>
          <w:rFonts w:ascii="FS Me" w:hAnsi="FS Me"/>
          <w:b/>
          <w:bCs/>
          <w:sz w:val="22"/>
          <w:lang w:val="et-EE"/>
        </w:rPr>
        <w:br w:type="page"/>
      </w:r>
    </w:p>
    <w:p w14:paraId="6AA3FA04" w14:textId="04257508" w:rsidR="00790332" w:rsidRPr="009739BF" w:rsidRDefault="00790332" w:rsidP="001A0E32">
      <w:pPr>
        <w:rPr>
          <w:b/>
          <w:bCs/>
          <w:lang w:val="et-EE"/>
        </w:rPr>
      </w:pPr>
      <w:r w:rsidRPr="009739BF">
        <w:rPr>
          <w:b/>
          <w:bCs/>
          <w:lang w:val="et-EE"/>
        </w:rPr>
        <w:lastRenderedPageBreak/>
        <w:t>Muud jätkusuutlikkusteguritele avalduva põhilise negatiivse mõju näitajad</w:t>
      </w:r>
    </w:p>
    <w:p w14:paraId="2C076EE0" w14:textId="77777777" w:rsidR="001A0E32" w:rsidRPr="009739BF" w:rsidRDefault="001A0E32" w:rsidP="001A0E32">
      <w:pPr>
        <w:rPr>
          <w:b/>
          <w:bCs/>
          <w:lang w:val="et-EE"/>
        </w:rPr>
      </w:pPr>
    </w:p>
    <w:p w14:paraId="3C29A036" w14:textId="40A8A6B7" w:rsidR="001A0E32" w:rsidRPr="009739BF" w:rsidRDefault="001A0E32" w:rsidP="001A0E32">
      <w:pPr>
        <w:rPr>
          <w:b/>
          <w:bCs/>
          <w:lang w:val="et-EE"/>
        </w:rPr>
      </w:pPr>
      <w:r w:rsidRPr="009739BF">
        <w:rPr>
          <w:b/>
          <w:bCs/>
          <w:lang w:val="et-EE"/>
        </w:rPr>
        <w:t>Investeerimisobjektiks olevatesse äriühingutesse tehtavate investeeringute suhtes kohaldatavad näitajad</w:t>
      </w:r>
    </w:p>
    <w:p w14:paraId="18B82567" w14:textId="77777777" w:rsidR="00773CE1" w:rsidRPr="009739BF" w:rsidRDefault="00773CE1" w:rsidP="00773CE1">
      <w:pPr>
        <w:jc w:val="both"/>
        <w:rPr>
          <w:rFonts w:ascii="FS Me" w:hAnsi="FS Me"/>
          <w:sz w:val="22"/>
          <w:lang w:val="et-EE"/>
        </w:rPr>
      </w:pPr>
    </w:p>
    <w:tbl>
      <w:tblPr>
        <w:tblStyle w:val="TableGrid"/>
        <w:tblW w:w="14787" w:type="dxa"/>
        <w:tblLayout w:type="fixed"/>
        <w:tblLook w:val="04A0" w:firstRow="1" w:lastRow="0" w:firstColumn="1" w:lastColumn="0" w:noHBand="0" w:noVBand="1"/>
      </w:tblPr>
      <w:tblGrid>
        <w:gridCol w:w="2234"/>
        <w:gridCol w:w="2269"/>
        <w:gridCol w:w="2722"/>
        <w:gridCol w:w="1842"/>
        <w:gridCol w:w="1782"/>
        <w:gridCol w:w="3938"/>
      </w:tblGrid>
      <w:tr w:rsidR="00125439" w:rsidRPr="00705488" w14:paraId="7404B203" w14:textId="77777777" w:rsidTr="00125439">
        <w:tc>
          <w:tcPr>
            <w:tcW w:w="4503" w:type="dxa"/>
            <w:gridSpan w:val="2"/>
          </w:tcPr>
          <w:p w14:paraId="1542AF57" w14:textId="2567E47D" w:rsidR="00125439" w:rsidRPr="009739BF" w:rsidRDefault="00125439" w:rsidP="00790332">
            <w:pPr>
              <w:rPr>
                <w:rFonts w:ascii="FS Me" w:hAnsi="FS Me"/>
                <w:b/>
                <w:sz w:val="18"/>
                <w:szCs w:val="18"/>
                <w:lang w:val="et-EE"/>
              </w:rPr>
            </w:pPr>
            <w:r w:rsidRPr="009739BF">
              <w:rPr>
                <w:rFonts w:ascii="FS Me" w:hAnsi="FS Me"/>
                <w:b/>
                <w:bCs/>
                <w:sz w:val="18"/>
                <w:szCs w:val="18"/>
                <w:lang w:val="et-EE"/>
              </w:rPr>
              <w:t xml:space="preserve">Jätkusuutlikkusele avalduva negatiivse mõju näitaja </w:t>
            </w:r>
          </w:p>
        </w:tc>
        <w:tc>
          <w:tcPr>
            <w:tcW w:w="2722" w:type="dxa"/>
          </w:tcPr>
          <w:p w14:paraId="3A4D6BA8" w14:textId="4E7A88A3" w:rsidR="00125439" w:rsidRPr="009739BF" w:rsidRDefault="00125439" w:rsidP="00790332">
            <w:pPr>
              <w:rPr>
                <w:rFonts w:ascii="FS Me" w:hAnsi="FS Me"/>
                <w:b/>
                <w:sz w:val="18"/>
                <w:szCs w:val="18"/>
                <w:lang w:val="et-EE"/>
              </w:rPr>
            </w:pPr>
            <w:r w:rsidRPr="009739BF">
              <w:rPr>
                <w:rFonts w:ascii="FS Me" w:hAnsi="FS Me"/>
                <w:b/>
                <w:bCs/>
                <w:sz w:val="18"/>
                <w:szCs w:val="18"/>
                <w:lang w:val="et-EE"/>
              </w:rPr>
              <w:t>Mõõtühik</w:t>
            </w:r>
          </w:p>
        </w:tc>
        <w:tc>
          <w:tcPr>
            <w:tcW w:w="1842" w:type="dxa"/>
          </w:tcPr>
          <w:p w14:paraId="4727D7B5" w14:textId="0B3A0FFA" w:rsidR="00125439" w:rsidRPr="009739BF" w:rsidRDefault="00125439" w:rsidP="00790332">
            <w:pPr>
              <w:rPr>
                <w:rFonts w:ascii="FS Me" w:hAnsi="FS Me"/>
                <w:b/>
                <w:sz w:val="18"/>
                <w:szCs w:val="18"/>
                <w:lang w:val="et-EE"/>
              </w:rPr>
            </w:pPr>
            <w:r w:rsidRPr="009739BF">
              <w:rPr>
                <w:rFonts w:ascii="FS Me" w:hAnsi="FS Me"/>
                <w:b/>
                <w:bCs/>
                <w:sz w:val="18"/>
                <w:szCs w:val="18"/>
                <w:lang w:val="et-EE"/>
              </w:rPr>
              <w:t>Mõju 2023</w:t>
            </w:r>
          </w:p>
        </w:tc>
        <w:tc>
          <w:tcPr>
            <w:tcW w:w="1782" w:type="dxa"/>
          </w:tcPr>
          <w:p w14:paraId="5E8B2620" w14:textId="4C280A70" w:rsidR="00125439" w:rsidRPr="009739BF" w:rsidRDefault="00125439" w:rsidP="00790332">
            <w:pPr>
              <w:rPr>
                <w:rFonts w:ascii="FS Me" w:hAnsi="FS Me"/>
                <w:b/>
                <w:sz w:val="18"/>
                <w:szCs w:val="18"/>
                <w:lang w:val="et-EE"/>
              </w:rPr>
            </w:pPr>
            <w:r w:rsidRPr="009739BF">
              <w:rPr>
                <w:rFonts w:ascii="FS Me" w:hAnsi="FS Me"/>
                <w:b/>
                <w:bCs/>
                <w:sz w:val="18"/>
                <w:szCs w:val="18"/>
                <w:lang w:val="et-EE"/>
              </w:rPr>
              <w:t>Mõju 2022</w:t>
            </w:r>
          </w:p>
        </w:tc>
        <w:tc>
          <w:tcPr>
            <w:tcW w:w="3938" w:type="dxa"/>
          </w:tcPr>
          <w:p w14:paraId="6100BAA2" w14:textId="4486A30A" w:rsidR="00125439" w:rsidRPr="009739BF" w:rsidRDefault="00125439" w:rsidP="00790332">
            <w:pPr>
              <w:rPr>
                <w:rFonts w:ascii="FS Me" w:hAnsi="FS Me"/>
                <w:b/>
                <w:sz w:val="18"/>
                <w:szCs w:val="18"/>
                <w:lang w:val="et-EE"/>
              </w:rPr>
            </w:pPr>
            <w:r w:rsidRPr="009739BF">
              <w:rPr>
                <w:rFonts w:ascii="FS Me" w:hAnsi="FS Me"/>
                <w:b/>
                <w:bCs/>
                <w:sz w:val="18"/>
                <w:szCs w:val="18"/>
                <w:lang w:val="et-EE"/>
              </w:rPr>
              <w:t>Võetud meetmed ning järgmiseks aruandlusperioodiks kavandatud meetmed ja seatud eesmärgid</w:t>
            </w:r>
          </w:p>
        </w:tc>
      </w:tr>
      <w:tr w:rsidR="00773CE1" w:rsidRPr="009739BF" w14:paraId="4C06CDE8" w14:textId="77777777" w:rsidTr="00790332">
        <w:tc>
          <w:tcPr>
            <w:tcW w:w="14787" w:type="dxa"/>
            <w:gridSpan w:val="6"/>
          </w:tcPr>
          <w:p w14:paraId="3F9209D7" w14:textId="77777777" w:rsidR="00790332" w:rsidRPr="009739BF" w:rsidRDefault="00790332" w:rsidP="001A0E32">
            <w:pPr>
              <w:rPr>
                <w:rFonts w:ascii="FS Me" w:hAnsi="FS Me"/>
                <w:b/>
                <w:sz w:val="18"/>
                <w:szCs w:val="18"/>
                <w:lang w:val="et-EE"/>
              </w:rPr>
            </w:pPr>
            <w:r w:rsidRPr="009739BF">
              <w:rPr>
                <w:rFonts w:ascii="FS Me" w:hAnsi="FS Me"/>
                <w:b/>
                <w:bCs/>
                <w:sz w:val="18"/>
                <w:szCs w:val="18"/>
                <w:lang w:val="et-EE"/>
              </w:rPr>
              <w:t>KLIIMANÄITAJAD JA MUUD KESKKONNANÄITAJAD</w:t>
            </w:r>
          </w:p>
          <w:p w14:paraId="732E2322" w14:textId="39D51BA3" w:rsidR="00773CE1" w:rsidRPr="009739BF" w:rsidRDefault="00773CE1" w:rsidP="00D23CE4">
            <w:pPr>
              <w:rPr>
                <w:rFonts w:ascii="FS Me" w:hAnsi="FS Me"/>
                <w:b/>
                <w:sz w:val="18"/>
                <w:szCs w:val="18"/>
                <w:lang w:val="et-EE"/>
              </w:rPr>
            </w:pPr>
          </w:p>
        </w:tc>
      </w:tr>
      <w:tr w:rsidR="00125439" w:rsidRPr="00705488" w14:paraId="3FA400C6" w14:textId="77777777" w:rsidTr="00125439">
        <w:tc>
          <w:tcPr>
            <w:tcW w:w="2234" w:type="dxa"/>
          </w:tcPr>
          <w:p w14:paraId="4D9E49D2" w14:textId="5BD7EB1C" w:rsidR="00125439" w:rsidRPr="009739BF" w:rsidRDefault="00125439" w:rsidP="008B36C3">
            <w:pPr>
              <w:rPr>
                <w:rFonts w:ascii="FS Me" w:hAnsi="FS Me"/>
                <w:bCs/>
                <w:sz w:val="18"/>
                <w:szCs w:val="18"/>
                <w:lang w:val="et-EE"/>
              </w:rPr>
            </w:pPr>
            <w:bookmarkStart w:id="2" w:name="_Hlk165370287"/>
            <w:r w:rsidRPr="009739BF">
              <w:rPr>
                <w:rFonts w:ascii="FS Me" w:hAnsi="FS Me"/>
                <w:sz w:val="18"/>
                <w:szCs w:val="18"/>
                <w:lang w:val="et-EE"/>
              </w:rPr>
              <w:t>Heited</w:t>
            </w:r>
          </w:p>
        </w:tc>
        <w:tc>
          <w:tcPr>
            <w:tcW w:w="2269" w:type="dxa"/>
          </w:tcPr>
          <w:p w14:paraId="4C82E9B6" w14:textId="23A81079" w:rsidR="00125439" w:rsidRPr="009739BF" w:rsidRDefault="00125439" w:rsidP="008B36C3">
            <w:pPr>
              <w:rPr>
                <w:rFonts w:ascii="FS Me" w:hAnsi="FS Me"/>
                <w:bCs/>
                <w:sz w:val="18"/>
                <w:szCs w:val="18"/>
                <w:lang w:val="et-EE"/>
              </w:rPr>
            </w:pPr>
            <w:r w:rsidRPr="009739BF">
              <w:rPr>
                <w:rFonts w:ascii="FS Me" w:hAnsi="FS Me"/>
                <w:sz w:val="18"/>
                <w:szCs w:val="18"/>
                <w:lang w:val="et-EE"/>
              </w:rPr>
              <w:t>4. Investeeringud äriühingutesse, millel puuduvad süsinikdioksiidi heitkoguste vähendamise algatused</w:t>
            </w:r>
          </w:p>
        </w:tc>
        <w:tc>
          <w:tcPr>
            <w:tcW w:w="2722" w:type="dxa"/>
          </w:tcPr>
          <w:p w14:paraId="554CBE96" w14:textId="31B84A13" w:rsidR="00125439" w:rsidRPr="009739BF" w:rsidRDefault="00125439" w:rsidP="008B36C3">
            <w:pPr>
              <w:rPr>
                <w:rFonts w:ascii="FS Me" w:hAnsi="FS Me"/>
                <w:bCs/>
                <w:sz w:val="18"/>
                <w:szCs w:val="18"/>
                <w:lang w:val="et-EE"/>
              </w:rPr>
            </w:pPr>
            <w:r w:rsidRPr="009739BF">
              <w:rPr>
                <w:rFonts w:ascii="FS Me" w:hAnsi="FS Me"/>
                <w:sz w:val="18"/>
                <w:szCs w:val="18"/>
                <w:lang w:val="et-EE"/>
              </w:rPr>
              <w:t>Selliste investeeringute osakaal, mis on tehtud investeerimisobjektiks olevatesse äriühingutesse, kellel puuduvad süsinikdioksiidi heitkoguste vähendamise algatused, mille eesmärk on viia need vastavusse Pariisi lepinguga</w:t>
            </w:r>
          </w:p>
        </w:tc>
        <w:tc>
          <w:tcPr>
            <w:tcW w:w="1842" w:type="dxa"/>
          </w:tcPr>
          <w:p w14:paraId="7C3867AA" w14:textId="3241684A" w:rsidR="00125439" w:rsidRPr="009739BF" w:rsidRDefault="00125439" w:rsidP="008B36C3">
            <w:pPr>
              <w:rPr>
                <w:rFonts w:ascii="FS Me" w:hAnsi="FS Me"/>
                <w:bCs/>
                <w:sz w:val="18"/>
                <w:szCs w:val="18"/>
                <w:lang w:val="et-EE"/>
              </w:rPr>
            </w:pPr>
            <w:r w:rsidRPr="009739BF">
              <w:rPr>
                <w:rFonts w:ascii="FS Me" w:hAnsi="FS Me"/>
                <w:sz w:val="18"/>
                <w:szCs w:val="18"/>
                <w:lang w:val="et-EE"/>
              </w:rPr>
              <w:t>42%</w:t>
            </w:r>
          </w:p>
        </w:tc>
        <w:tc>
          <w:tcPr>
            <w:tcW w:w="1782" w:type="dxa"/>
          </w:tcPr>
          <w:p w14:paraId="1AEDE989" w14:textId="02E1B4A3" w:rsidR="00125439" w:rsidRPr="009739BF" w:rsidRDefault="00125439" w:rsidP="008B36C3">
            <w:pPr>
              <w:rPr>
                <w:rFonts w:ascii="FS Me" w:hAnsi="FS Me"/>
                <w:bCs/>
                <w:sz w:val="18"/>
                <w:szCs w:val="18"/>
                <w:lang w:val="et-EE"/>
              </w:rPr>
            </w:pPr>
            <w:r w:rsidRPr="009739BF">
              <w:rPr>
                <w:rFonts w:ascii="FS Me" w:hAnsi="FS Me"/>
                <w:sz w:val="18"/>
                <w:szCs w:val="18"/>
                <w:lang w:val="et-EE"/>
              </w:rPr>
              <w:t>Andmeid ei ole</w:t>
            </w:r>
          </w:p>
        </w:tc>
        <w:tc>
          <w:tcPr>
            <w:tcW w:w="3938" w:type="dxa"/>
            <w:vMerge w:val="restart"/>
          </w:tcPr>
          <w:p w14:paraId="04F82B5B" w14:textId="044F05FD" w:rsidR="00125439" w:rsidRPr="009739BF" w:rsidRDefault="00125439" w:rsidP="008B36C3">
            <w:pPr>
              <w:rPr>
                <w:rFonts w:ascii="FS Me" w:hAnsi="FS Me"/>
                <w:bCs/>
                <w:sz w:val="18"/>
                <w:szCs w:val="18"/>
                <w:lang w:val="et-EE"/>
              </w:rPr>
            </w:pPr>
            <w:r w:rsidRPr="009739BF">
              <w:rPr>
                <w:rFonts w:ascii="FS Me" w:hAnsi="FS Me"/>
                <w:sz w:val="18"/>
                <w:szCs w:val="18"/>
                <w:lang w:val="et-EE"/>
              </w:rPr>
              <w:t>Vt ülaltoodud tabelis vee- ja jäätmenäitajate 8–9 kohta toodud kommentaari, mis on samuti selle näitajaga seotud</w:t>
            </w:r>
          </w:p>
        </w:tc>
      </w:tr>
      <w:bookmarkEnd w:id="2"/>
      <w:tr w:rsidR="00125439" w:rsidRPr="009739BF" w14:paraId="7B977FF5" w14:textId="77777777" w:rsidTr="00125439">
        <w:tc>
          <w:tcPr>
            <w:tcW w:w="2234" w:type="dxa"/>
          </w:tcPr>
          <w:p w14:paraId="5788D6C7" w14:textId="6983BAA9" w:rsidR="00125439" w:rsidRPr="009739BF" w:rsidRDefault="00125439" w:rsidP="008B36C3">
            <w:pPr>
              <w:rPr>
                <w:rFonts w:ascii="FS Me" w:hAnsi="FS Me"/>
                <w:bCs/>
                <w:sz w:val="18"/>
                <w:szCs w:val="18"/>
                <w:lang w:val="et-EE"/>
              </w:rPr>
            </w:pPr>
            <w:r w:rsidRPr="009739BF">
              <w:rPr>
                <w:rFonts w:ascii="FS Me" w:hAnsi="FS Me"/>
                <w:sz w:val="18"/>
                <w:szCs w:val="18"/>
                <w:lang w:val="et-EE"/>
              </w:rPr>
              <w:t>Vesi, jäätmed ja materjalidest tulenevad heited</w:t>
            </w:r>
          </w:p>
        </w:tc>
        <w:tc>
          <w:tcPr>
            <w:tcW w:w="2269" w:type="dxa"/>
          </w:tcPr>
          <w:p w14:paraId="37A47CDD" w14:textId="4DE13C74" w:rsidR="00125439" w:rsidRPr="009739BF" w:rsidRDefault="00125439" w:rsidP="008B36C3">
            <w:pPr>
              <w:rPr>
                <w:rFonts w:ascii="FS Me" w:hAnsi="FS Me"/>
                <w:bCs/>
                <w:sz w:val="18"/>
                <w:szCs w:val="18"/>
                <w:lang w:val="et-EE"/>
              </w:rPr>
            </w:pPr>
            <w:r w:rsidRPr="009739BF">
              <w:rPr>
                <w:rFonts w:ascii="FS Me" w:hAnsi="FS Me"/>
                <w:sz w:val="18"/>
                <w:szCs w:val="18"/>
                <w:lang w:val="et-EE"/>
              </w:rPr>
              <w:t>8. Kokkupuude suure veestressiga aladega</w:t>
            </w:r>
          </w:p>
        </w:tc>
        <w:tc>
          <w:tcPr>
            <w:tcW w:w="2722" w:type="dxa"/>
          </w:tcPr>
          <w:p w14:paraId="3C570BB1" w14:textId="4E879106" w:rsidR="00125439" w:rsidRPr="009739BF" w:rsidRDefault="00125439" w:rsidP="008B36C3">
            <w:pPr>
              <w:rPr>
                <w:rFonts w:ascii="FS Me" w:hAnsi="FS Me"/>
                <w:bCs/>
                <w:sz w:val="18"/>
                <w:szCs w:val="18"/>
                <w:lang w:val="et-EE"/>
              </w:rPr>
            </w:pPr>
            <w:r w:rsidRPr="009739BF">
              <w:rPr>
                <w:rFonts w:ascii="FS Me" w:hAnsi="FS Me"/>
                <w:sz w:val="18"/>
                <w:szCs w:val="18"/>
                <w:lang w:val="et-EE"/>
              </w:rPr>
              <w:t>Selliste investeeringute osakaal, mis on tehtud investeerimisobjektiks olevatesse äriühingutesse, kelle tegevuskohad asuvad suure veestressiga aladel ja kus puudub veemajanduspoliitika</w:t>
            </w:r>
          </w:p>
        </w:tc>
        <w:tc>
          <w:tcPr>
            <w:tcW w:w="1842" w:type="dxa"/>
          </w:tcPr>
          <w:p w14:paraId="7268643B" w14:textId="55C31837" w:rsidR="00125439" w:rsidRPr="009739BF" w:rsidRDefault="00125439" w:rsidP="008B36C3">
            <w:pPr>
              <w:rPr>
                <w:rFonts w:ascii="FS Me" w:hAnsi="FS Me"/>
                <w:bCs/>
                <w:sz w:val="18"/>
                <w:szCs w:val="18"/>
                <w:lang w:val="et-EE"/>
              </w:rPr>
            </w:pPr>
            <w:r w:rsidRPr="009739BF">
              <w:rPr>
                <w:rFonts w:ascii="FS Me" w:hAnsi="FS Me"/>
                <w:sz w:val="18"/>
                <w:szCs w:val="18"/>
                <w:lang w:val="et-EE"/>
              </w:rPr>
              <w:t>0%</w:t>
            </w:r>
          </w:p>
        </w:tc>
        <w:tc>
          <w:tcPr>
            <w:tcW w:w="1782" w:type="dxa"/>
          </w:tcPr>
          <w:p w14:paraId="29DA30F5" w14:textId="77E60D2E" w:rsidR="00125439" w:rsidRPr="009739BF" w:rsidRDefault="00125439" w:rsidP="008B36C3">
            <w:pPr>
              <w:rPr>
                <w:rFonts w:ascii="FS Me" w:hAnsi="FS Me"/>
                <w:bCs/>
                <w:sz w:val="18"/>
                <w:szCs w:val="18"/>
                <w:lang w:val="et-EE"/>
              </w:rPr>
            </w:pPr>
            <w:r w:rsidRPr="009739BF">
              <w:rPr>
                <w:rFonts w:ascii="FS Me" w:hAnsi="FS Me"/>
                <w:sz w:val="18"/>
                <w:szCs w:val="18"/>
                <w:lang w:val="et-EE"/>
              </w:rPr>
              <w:t>3,8%</w:t>
            </w:r>
          </w:p>
        </w:tc>
        <w:tc>
          <w:tcPr>
            <w:tcW w:w="3938" w:type="dxa"/>
            <w:vMerge/>
          </w:tcPr>
          <w:p w14:paraId="178244D6" w14:textId="77777777" w:rsidR="00125439" w:rsidRPr="009739BF" w:rsidRDefault="00125439" w:rsidP="008B36C3">
            <w:pPr>
              <w:rPr>
                <w:rFonts w:ascii="FS Me" w:hAnsi="FS Me"/>
                <w:bCs/>
                <w:sz w:val="18"/>
                <w:szCs w:val="18"/>
                <w:lang w:val="et-EE"/>
              </w:rPr>
            </w:pPr>
          </w:p>
        </w:tc>
      </w:tr>
    </w:tbl>
    <w:p w14:paraId="03529F95" w14:textId="1A71D491" w:rsidR="001A0E32" w:rsidRPr="009739BF" w:rsidRDefault="001A0E32" w:rsidP="00773CE1">
      <w:pPr>
        <w:jc w:val="both"/>
        <w:rPr>
          <w:rFonts w:ascii="FS Me" w:hAnsi="FS Me"/>
          <w:b/>
          <w:sz w:val="22"/>
          <w:lang w:val="et-EE"/>
        </w:rPr>
      </w:pPr>
    </w:p>
    <w:p w14:paraId="1BF47EBE" w14:textId="77777777" w:rsidR="001A0E32" w:rsidRPr="009739BF" w:rsidRDefault="001A0E32">
      <w:pPr>
        <w:rPr>
          <w:rFonts w:ascii="FS Me" w:hAnsi="FS Me"/>
          <w:b/>
          <w:sz w:val="22"/>
          <w:lang w:val="et-EE"/>
        </w:rPr>
      </w:pPr>
      <w:r w:rsidRPr="009739BF">
        <w:rPr>
          <w:rFonts w:ascii="FS Me" w:hAnsi="FS Me"/>
          <w:b/>
          <w:bCs/>
          <w:sz w:val="22"/>
          <w:lang w:val="et-EE"/>
        </w:rPr>
        <w:br w:type="page"/>
      </w:r>
    </w:p>
    <w:p w14:paraId="2B55D7E0" w14:textId="38B56E8E" w:rsidR="001A0E32" w:rsidRPr="009739BF" w:rsidRDefault="001A0E32" w:rsidP="001A0E32">
      <w:pPr>
        <w:rPr>
          <w:b/>
          <w:bCs/>
          <w:lang w:val="et-EE"/>
        </w:rPr>
      </w:pPr>
      <w:r w:rsidRPr="009739BF">
        <w:rPr>
          <w:b/>
          <w:bCs/>
          <w:lang w:val="et-EE"/>
        </w:rPr>
        <w:lastRenderedPageBreak/>
        <w:t>Töötajatega seotud ja sotsiaalküsimuste, inimõiguste austamise ning korruptsiooni- ja altkäemaksuvastase võitlusega seotud täiendavad näitajad</w:t>
      </w:r>
    </w:p>
    <w:p w14:paraId="235EFD5A" w14:textId="77777777" w:rsidR="001A0E32" w:rsidRPr="009739BF" w:rsidRDefault="001A0E32" w:rsidP="001A0E32">
      <w:pPr>
        <w:rPr>
          <w:b/>
          <w:bCs/>
          <w:lang w:val="et-EE"/>
        </w:rPr>
      </w:pPr>
    </w:p>
    <w:p w14:paraId="17477894" w14:textId="77777777" w:rsidR="001A0E32" w:rsidRPr="009739BF" w:rsidRDefault="001A0E32" w:rsidP="001A0E32">
      <w:pPr>
        <w:rPr>
          <w:b/>
          <w:bCs/>
          <w:lang w:val="et-EE"/>
        </w:rPr>
      </w:pPr>
      <w:r w:rsidRPr="009739BF">
        <w:rPr>
          <w:b/>
          <w:bCs/>
          <w:lang w:val="et-EE"/>
        </w:rPr>
        <w:t>Investeerimisobjektiks olevatesse äriühingutesse tehtavate investeeringute suhtes kohaldatavad näitajad</w:t>
      </w:r>
    </w:p>
    <w:p w14:paraId="49A6C402" w14:textId="77777777" w:rsidR="009D2184" w:rsidRPr="009739BF" w:rsidRDefault="009D2184" w:rsidP="009D2184">
      <w:pPr>
        <w:jc w:val="both"/>
        <w:rPr>
          <w:rFonts w:ascii="FS Me" w:hAnsi="FS Me"/>
          <w:sz w:val="22"/>
          <w:lang w:val="et-EE"/>
        </w:rPr>
      </w:pPr>
    </w:p>
    <w:tbl>
      <w:tblPr>
        <w:tblStyle w:val="TableGrid"/>
        <w:tblW w:w="14787" w:type="dxa"/>
        <w:tblLayout w:type="fixed"/>
        <w:tblLook w:val="04A0" w:firstRow="1" w:lastRow="0" w:firstColumn="1" w:lastColumn="0" w:noHBand="0" w:noVBand="1"/>
      </w:tblPr>
      <w:tblGrid>
        <w:gridCol w:w="2234"/>
        <w:gridCol w:w="2269"/>
        <w:gridCol w:w="2863"/>
        <w:gridCol w:w="1843"/>
        <w:gridCol w:w="1640"/>
        <w:gridCol w:w="3938"/>
      </w:tblGrid>
      <w:tr w:rsidR="00125439" w:rsidRPr="00705488" w14:paraId="78BFBD61" w14:textId="77777777" w:rsidTr="00125439">
        <w:tc>
          <w:tcPr>
            <w:tcW w:w="4503" w:type="dxa"/>
            <w:gridSpan w:val="2"/>
          </w:tcPr>
          <w:p w14:paraId="1DBA60DD" w14:textId="56C7D1AC" w:rsidR="00125439" w:rsidRPr="009739BF" w:rsidRDefault="00125439" w:rsidP="00790332">
            <w:pPr>
              <w:rPr>
                <w:rFonts w:ascii="FS Me" w:hAnsi="FS Me"/>
                <w:b/>
                <w:sz w:val="18"/>
                <w:szCs w:val="18"/>
                <w:lang w:val="et-EE"/>
              </w:rPr>
            </w:pPr>
            <w:r w:rsidRPr="009739BF">
              <w:rPr>
                <w:rFonts w:ascii="FS Me" w:hAnsi="FS Me"/>
                <w:b/>
                <w:bCs/>
                <w:sz w:val="18"/>
                <w:szCs w:val="18"/>
                <w:lang w:val="et-EE"/>
              </w:rPr>
              <w:t xml:space="preserve">Jätkusuutlikkusele avalduva negatiivse mõju näitaja </w:t>
            </w:r>
          </w:p>
        </w:tc>
        <w:tc>
          <w:tcPr>
            <w:tcW w:w="2863" w:type="dxa"/>
          </w:tcPr>
          <w:p w14:paraId="1222B37D" w14:textId="4B45387F" w:rsidR="00125439" w:rsidRPr="009739BF" w:rsidRDefault="00125439" w:rsidP="00790332">
            <w:pPr>
              <w:rPr>
                <w:rFonts w:ascii="FS Me" w:hAnsi="FS Me"/>
                <w:b/>
                <w:sz w:val="18"/>
                <w:szCs w:val="18"/>
                <w:lang w:val="et-EE"/>
              </w:rPr>
            </w:pPr>
            <w:r w:rsidRPr="009739BF">
              <w:rPr>
                <w:rFonts w:ascii="FS Me" w:hAnsi="FS Me"/>
                <w:b/>
                <w:bCs/>
                <w:sz w:val="18"/>
                <w:szCs w:val="18"/>
                <w:lang w:val="et-EE"/>
              </w:rPr>
              <w:t>Mõõtühik</w:t>
            </w:r>
          </w:p>
        </w:tc>
        <w:tc>
          <w:tcPr>
            <w:tcW w:w="1843" w:type="dxa"/>
          </w:tcPr>
          <w:p w14:paraId="584C7489" w14:textId="2C413B07" w:rsidR="00125439" w:rsidRPr="009739BF" w:rsidRDefault="00125439" w:rsidP="00790332">
            <w:pPr>
              <w:rPr>
                <w:rFonts w:ascii="FS Me" w:hAnsi="FS Me"/>
                <w:b/>
                <w:sz w:val="18"/>
                <w:szCs w:val="18"/>
                <w:lang w:val="et-EE"/>
              </w:rPr>
            </w:pPr>
            <w:r w:rsidRPr="009739BF">
              <w:rPr>
                <w:rFonts w:ascii="FS Me" w:hAnsi="FS Me"/>
                <w:b/>
                <w:bCs/>
                <w:sz w:val="18"/>
                <w:szCs w:val="18"/>
                <w:lang w:val="et-EE"/>
              </w:rPr>
              <w:t>Mõju 2023</w:t>
            </w:r>
          </w:p>
        </w:tc>
        <w:tc>
          <w:tcPr>
            <w:tcW w:w="1640" w:type="dxa"/>
          </w:tcPr>
          <w:p w14:paraId="081F9978" w14:textId="67D3D328" w:rsidR="00125439" w:rsidRPr="009739BF" w:rsidRDefault="00125439" w:rsidP="00790332">
            <w:pPr>
              <w:rPr>
                <w:rFonts w:ascii="FS Me" w:hAnsi="FS Me"/>
                <w:b/>
                <w:sz w:val="18"/>
                <w:szCs w:val="18"/>
                <w:lang w:val="et-EE"/>
              </w:rPr>
            </w:pPr>
            <w:r w:rsidRPr="009739BF">
              <w:rPr>
                <w:rFonts w:ascii="FS Me" w:hAnsi="FS Me"/>
                <w:b/>
                <w:bCs/>
                <w:sz w:val="18"/>
                <w:szCs w:val="18"/>
                <w:lang w:val="et-EE"/>
              </w:rPr>
              <w:t>Mõju 2022</w:t>
            </w:r>
          </w:p>
        </w:tc>
        <w:tc>
          <w:tcPr>
            <w:tcW w:w="3938" w:type="dxa"/>
          </w:tcPr>
          <w:p w14:paraId="5E803D62" w14:textId="7E6B6D1D" w:rsidR="00125439" w:rsidRPr="009739BF" w:rsidRDefault="00125439" w:rsidP="00790332">
            <w:pPr>
              <w:rPr>
                <w:rFonts w:ascii="FS Me" w:hAnsi="FS Me"/>
                <w:b/>
                <w:sz w:val="18"/>
                <w:szCs w:val="18"/>
                <w:lang w:val="et-EE"/>
              </w:rPr>
            </w:pPr>
            <w:r w:rsidRPr="009739BF">
              <w:rPr>
                <w:rFonts w:ascii="FS Me" w:hAnsi="FS Me"/>
                <w:b/>
                <w:bCs/>
                <w:sz w:val="18"/>
                <w:szCs w:val="18"/>
                <w:lang w:val="et-EE"/>
              </w:rPr>
              <w:t>Võetud meetmed ning järgmiseks aruandlusperioodiks kavandatud meetmed ja seatud eesmärgid</w:t>
            </w:r>
          </w:p>
        </w:tc>
      </w:tr>
      <w:tr w:rsidR="00790332" w:rsidRPr="00705488" w14:paraId="668C78A2" w14:textId="77777777" w:rsidTr="00790332">
        <w:tc>
          <w:tcPr>
            <w:tcW w:w="14787" w:type="dxa"/>
            <w:gridSpan w:val="6"/>
          </w:tcPr>
          <w:p w14:paraId="6ED117D7" w14:textId="0E2A2F47" w:rsidR="00790332" w:rsidRPr="009739BF" w:rsidRDefault="00790332" w:rsidP="001A0E32">
            <w:pPr>
              <w:rPr>
                <w:rFonts w:ascii="FS Me" w:hAnsi="FS Me"/>
                <w:b/>
                <w:sz w:val="18"/>
                <w:szCs w:val="18"/>
                <w:lang w:val="et-EE"/>
              </w:rPr>
            </w:pPr>
            <w:r w:rsidRPr="009739BF">
              <w:rPr>
                <w:rFonts w:ascii="FS Me" w:hAnsi="FS Me"/>
                <w:b/>
                <w:bCs/>
                <w:sz w:val="18"/>
                <w:szCs w:val="18"/>
                <w:lang w:val="et-EE"/>
              </w:rPr>
              <w:t>SOTSIAALSETE JA TÖÖTAJATEGA SEOTUD, INIMÕIGUSTE AUSTAMISE NING KORRUPTSIOONI JA ALTKÄEMAKSU TÕKESTAMISE NÄITAJAD</w:t>
            </w:r>
          </w:p>
        </w:tc>
      </w:tr>
      <w:tr w:rsidR="00125439" w:rsidRPr="00705488" w14:paraId="5992CDCB" w14:textId="77777777" w:rsidTr="00125439">
        <w:tc>
          <w:tcPr>
            <w:tcW w:w="2234" w:type="dxa"/>
          </w:tcPr>
          <w:p w14:paraId="3BFE27B2" w14:textId="3C1A5835" w:rsidR="00125439" w:rsidRPr="009739BF" w:rsidRDefault="00125439" w:rsidP="008B36C3">
            <w:pPr>
              <w:rPr>
                <w:rFonts w:ascii="FS Me" w:hAnsi="FS Me"/>
                <w:bCs/>
                <w:sz w:val="18"/>
                <w:szCs w:val="18"/>
                <w:lang w:val="et-EE"/>
              </w:rPr>
            </w:pPr>
            <w:r w:rsidRPr="009739BF">
              <w:rPr>
                <w:rFonts w:ascii="FS Me" w:hAnsi="FS Me"/>
                <w:sz w:val="18"/>
                <w:szCs w:val="18"/>
                <w:lang w:val="et-EE"/>
              </w:rPr>
              <w:t>Töötajatega seotud ja sotsiaalküsimused</w:t>
            </w:r>
          </w:p>
        </w:tc>
        <w:tc>
          <w:tcPr>
            <w:tcW w:w="2269" w:type="dxa"/>
          </w:tcPr>
          <w:p w14:paraId="2045B5DA" w14:textId="278AC319" w:rsidR="00125439" w:rsidRPr="009739BF" w:rsidRDefault="00125439" w:rsidP="008B36C3">
            <w:pPr>
              <w:rPr>
                <w:rFonts w:ascii="FS Me" w:hAnsi="FS Me"/>
                <w:bCs/>
                <w:sz w:val="18"/>
                <w:szCs w:val="18"/>
                <w:lang w:val="et-EE"/>
              </w:rPr>
            </w:pPr>
            <w:r w:rsidRPr="009739BF">
              <w:rPr>
                <w:rFonts w:ascii="FS Me" w:hAnsi="FS Me"/>
                <w:sz w:val="18"/>
                <w:szCs w:val="18"/>
                <w:lang w:val="et-EE"/>
              </w:rPr>
              <w:t>2. Õnnetusjuhtumite määr</w:t>
            </w:r>
          </w:p>
        </w:tc>
        <w:tc>
          <w:tcPr>
            <w:tcW w:w="2863" w:type="dxa"/>
          </w:tcPr>
          <w:p w14:paraId="2D5E2C09" w14:textId="07B9321C" w:rsidR="00125439" w:rsidRPr="009739BF" w:rsidRDefault="00125439" w:rsidP="008B36C3">
            <w:pPr>
              <w:rPr>
                <w:rFonts w:ascii="FS Me" w:hAnsi="FS Me"/>
                <w:bCs/>
                <w:sz w:val="18"/>
                <w:szCs w:val="18"/>
                <w:lang w:val="et-EE"/>
              </w:rPr>
            </w:pPr>
            <w:r w:rsidRPr="009739BF">
              <w:rPr>
                <w:rFonts w:ascii="FS Me" w:hAnsi="FS Me"/>
                <w:sz w:val="18"/>
                <w:szCs w:val="18"/>
                <w:lang w:val="et-EE"/>
              </w:rPr>
              <w:t>Investeerimisobjektiks olevates äriühingutes toimunud õnnetusjuhtumite määr, mis väljendub kaalutud keskmisena</w:t>
            </w:r>
          </w:p>
        </w:tc>
        <w:tc>
          <w:tcPr>
            <w:tcW w:w="1843" w:type="dxa"/>
          </w:tcPr>
          <w:p w14:paraId="10CC25D2" w14:textId="3AF288D4" w:rsidR="00125439" w:rsidRPr="009739BF" w:rsidRDefault="00125439" w:rsidP="008B36C3">
            <w:pPr>
              <w:rPr>
                <w:rFonts w:ascii="FS Me" w:hAnsi="FS Me"/>
                <w:bCs/>
                <w:sz w:val="18"/>
                <w:szCs w:val="18"/>
                <w:lang w:val="et-EE"/>
              </w:rPr>
            </w:pPr>
            <w:r w:rsidRPr="009739BF">
              <w:rPr>
                <w:rFonts w:ascii="FS Me" w:hAnsi="FS Me"/>
                <w:sz w:val="18"/>
                <w:szCs w:val="18"/>
                <w:lang w:val="et-EE"/>
              </w:rPr>
              <w:t>0,03</w:t>
            </w:r>
          </w:p>
        </w:tc>
        <w:tc>
          <w:tcPr>
            <w:tcW w:w="1640" w:type="dxa"/>
          </w:tcPr>
          <w:p w14:paraId="02D3A6E2" w14:textId="433DBB0A" w:rsidR="00125439" w:rsidRPr="009739BF" w:rsidRDefault="00125439" w:rsidP="008B36C3">
            <w:pPr>
              <w:rPr>
                <w:rFonts w:ascii="FS Me" w:hAnsi="FS Me"/>
                <w:bCs/>
                <w:sz w:val="18"/>
                <w:szCs w:val="18"/>
                <w:lang w:val="et-EE"/>
              </w:rPr>
            </w:pPr>
            <w:r w:rsidRPr="009739BF">
              <w:rPr>
                <w:rFonts w:ascii="FS Me" w:hAnsi="FS Me"/>
                <w:sz w:val="18"/>
                <w:szCs w:val="18"/>
                <w:lang w:val="et-EE"/>
              </w:rPr>
              <w:t>0,02</w:t>
            </w:r>
          </w:p>
        </w:tc>
        <w:tc>
          <w:tcPr>
            <w:tcW w:w="3938" w:type="dxa"/>
            <w:vMerge w:val="restart"/>
          </w:tcPr>
          <w:p w14:paraId="3A152E02" w14:textId="163C1732" w:rsidR="00125439" w:rsidRPr="009739BF" w:rsidRDefault="00125439" w:rsidP="008B36C3">
            <w:pPr>
              <w:rPr>
                <w:rFonts w:ascii="FS Me" w:hAnsi="FS Me"/>
                <w:bCs/>
                <w:sz w:val="18"/>
                <w:szCs w:val="18"/>
                <w:lang w:val="et-EE"/>
              </w:rPr>
            </w:pPr>
            <w:r w:rsidRPr="009739BF">
              <w:rPr>
                <w:rFonts w:ascii="FS Me" w:hAnsi="FS Me"/>
                <w:sz w:val="18"/>
                <w:szCs w:val="18"/>
                <w:lang w:val="et-EE"/>
              </w:rPr>
              <w:t>Vt ülaltoodud tabelis sotsiaalsete näitajate 10–14 kohta toodud kommentaari, mis on samuti selle näitajaga seotud</w:t>
            </w:r>
          </w:p>
        </w:tc>
      </w:tr>
      <w:tr w:rsidR="00125439" w:rsidRPr="009739BF" w14:paraId="66C2273B" w14:textId="77777777" w:rsidTr="00125439">
        <w:trPr>
          <w:trHeight w:val="503"/>
        </w:trPr>
        <w:tc>
          <w:tcPr>
            <w:tcW w:w="2234" w:type="dxa"/>
          </w:tcPr>
          <w:p w14:paraId="186657FA" w14:textId="27527386" w:rsidR="00125439" w:rsidRPr="009739BF" w:rsidRDefault="00125439" w:rsidP="008B36C3">
            <w:pPr>
              <w:rPr>
                <w:rFonts w:ascii="FS Me" w:hAnsi="FS Me"/>
                <w:bCs/>
                <w:sz w:val="18"/>
                <w:szCs w:val="18"/>
                <w:lang w:val="et-EE"/>
              </w:rPr>
            </w:pPr>
            <w:r w:rsidRPr="009739BF">
              <w:rPr>
                <w:rFonts w:ascii="FS Me" w:hAnsi="FS Me"/>
                <w:sz w:val="18"/>
                <w:szCs w:val="18"/>
                <w:lang w:val="et-EE"/>
              </w:rPr>
              <w:t>Inimõigused</w:t>
            </w:r>
          </w:p>
        </w:tc>
        <w:tc>
          <w:tcPr>
            <w:tcW w:w="2269" w:type="dxa"/>
          </w:tcPr>
          <w:p w14:paraId="2949D22F" w14:textId="2CB2D87E" w:rsidR="00125439" w:rsidRPr="009739BF" w:rsidRDefault="00125439" w:rsidP="008B36C3">
            <w:pPr>
              <w:rPr>
                <w:rFonts w:ascii="FS Me" w:hAnsi="FS Me"/>
                <w:bCs/>
                <w:sz w:val="18"/>
                <w:szCs w:val="18"/>
                <w:lang w:val="et-EE"/>
              </w:rPr>
            </w:pPr>
            <w:r w:rsidRPr="009739BF">
              <w:rPr>
                <w:rFonts w:ascii="FS Me" w:hAnsi="FS Me"/>
                <w:sz w:val="18"/>
                <w:szCs w:val="18"/>
                <w:lang w:val="et-EE"/>
              </w:rPr>
              <w:t>9. Inimõigusi käsitleva poliitika puudumine</w:t>
            </w:r>
          </w:p>
        </w:tc>
        <w:tc>
          <w:tcPr>
            <w:tcW w:w="2863" w:type="dxa"/>
          </w:tcPr>
          <w:p w14:paraId="1011300A" w14:textId="209BB046" w:rsidR="00125439" w:rsidRPr="009739BF" w:rsidRDefault="00125439" w:rsidP="008B36C3">
            <w:pPr>
              <w:rPr>
                <w:rFonts w:ascii="FS Me" w:hAnsi="FS Me"/>
                <w:bCs/>
                <w:sz w:val="18"/>
                <w:szCs w:val="18"/>
                <w:lang w:val="et-EE"/>
              </w:rPr>
            </w:pPr>
            <w:r w:rsidRPr="009739BF">
              <w:rPr>
                <w:rFonts w:ascii="FS Me" w:hAnsi="FS Me"/>
                <w:sz w:val="18"/>
                <w:szCs w:val="18"/>
                <w:lang w:val="et-EE"/>
              </w:rPr>
              <w:t>Investeeringute osakaal üksustes, millel puudub inimõigusi käsitlev poliitika</w:t>
            </w:r>
          </w:p>
        </w:tc>
        <w:tc>
          <w:tcPr>
            <w:tcW w:w="1843" w:type="dxa"/>
          </w:tcPr>
          <w:p w14:paraId="7E6CB6BC" w14:textId="09509492" w:rsidR="00125439" w:rsidRPr="009739BF" w:rsidRDefault="00125439" w:rsidP="008B36C3">
            <w:pPr>
              <w:rPr>
                <w:rFonts w:ascii="FS Me" w:hAnsi="FS Me"/>
                <w:bCs/>
                <w:sz w:val="18"/>
                <w:szCs w:val="18"/>
                <w:lang w:val="et-EE"/>
              </w:rPr>
            </w:pPr>
            <w:r w:rsidRPr="009739BF">
              <w:rPr>
                <w:rFonts w:ascii="FS Me" w:hAnsi="FS Me"/>
                <w:sz w:val="18"/>
                <w:szCs w:val="18"/>
                <w:lang w:val="et-EE"/>
              </w:rPr>
              <w:t>2%</w:t>
            </w:r>
          </w:p>
        </w:tc>
        <w:tc>
          <w:tcPr>
            <w:tcW w:w="1640" w:type="dxa"/>
          </w:tcPr>
          <w:p w14:paraId="2BAB58F6" w14:textId="10B43CC9" w:rsidR="00125439" w:rsidRPr="009739BF" w:rsidRDefault="00125439" w:rsidP="008B36C3">
            <w:pPr>
              <w:rPr>
                <w:rFonts w:ascii="FS Me" w:hAnsi="FS Me"/>
                <w:bCs/>
                <w:sz w:val="18"/>
                <w:szCs w:val="18"/>
                <w:lang w:val="et-EE"/>
              </w:rPr>
            </w:pPr>
            <w:r w:rsidRPr="009739BF">
              <w:rPr>
                <w:rFonts w:ascii="FS Me" w:hAnsi="FS Me"/>
                <w:sz w:val="18"/>
                <w:szCs w:val="18"/>
                <w:lang w:val="et-EE"/>
              </w:rPr>
              <w:t>Andmeid ei ole</w:t>
            </w:r>
          </w:p>
        </w:tc>
        <w:tc>
          <w:tcPr>
            <w:tcW w:w="3938" w:type="dxa"/>
            <w:vMerge/>
          </w:tcPr>
          <w:p w14:paraId="4DE86045" w14:textId="77777777" w:rsidR="00125439" w:rsidRPr="009739BF" w:rsidRDefault="00125439" w:rsidP="008B36C3">
            <w:pPr>
              <w:rPr>
                <w:rFonts w:ascii="FS Me" w:hAnsi="FS Me"/>
                <w:bCs/>
                <w:sz w:val="18"/>
                <w:szCs w:val="18"/>
                <w:lang w:val="et-EE"/>
              </w:rPr>
            </w:pPr>
          </w:p>
        </w:tc>
      </w:tr>
    </w:tbl>
    <w:p w14:paraId="6FEDD5CF" w14:textId="77777777" w:rsidR="009D2184" w:rsidRPr="009739BF" w:rsidRDefault="009D2184" w:rsidP="009D2184">
      <w:pPr>
        <w:jc w:val="both"/>
        <w:rPr>
          <w:rFonts w:ascii="FS Me" w:hAnsi="FS Me"/>
          <w:bCs/>
          <w:sz w:val="22"/>
          <w:lang w:val="et-EE"/>
        </w:rPr>
      </w:pPr>
    </w:p>
    <w:p w14:paraId="6B9A97B6" w14:textId="0ABF8988" w:rsidR="00773CE1" w:rsidRPr="009739BF" w:rsidRDefault="00773CE1" w:rsidP="009D2184">
      <w:pPr>
        <w:pStyle w:val="Default"/>
        <w:spacing w:after="120"/>
        <w:jc w:val="both"/>
        <w:rPr>
          <w:rFonts w:ascii="FS Me" w:hAnsi="FS Me" w:cstheme="majorHAnsi"/>
          <w:b/>
          <w:bCs/>
          <w:color w:val="auto"/>
          <w:sz w:val="22"/>
          <w:szCs w:val="22"/>
          <w:lang w:val="et-EE"/>
        </w:rPr>
        <w:sectPr w:rsidR="00773CE1" w:rsidRPr="009739BF" w:rsidSect="008E540C">
          <w:headerReference w:type="default" r:id="rId14"/>
          <w:footerReference w:type="default" r:id="rId15"/>
          <w:pgSz w:w="16839" w:h="11907" w:orient="landscape" w:code="9"/>
          <w:pgMar w:top="1134" w:right="1134" w:bottom="992" w:left="1134" w:header="709" w:footer="709" w:gutter="0"/>
          <w:pgNumType w:start="0"/>
          <w:cols w:space="708"/>
          <w:docGrid w:linePitch="360"/>
        </w:sectPr>
      </w:pPr>
    </w:p>
    <w:p w14:paraId="442321DE" w14:textId="64558D70" w:rsidR="0067209E" w:rsidRPr="009739BF" w:rsidRDefault="0067209E" w:rsidP="00B911BF">
      <w:pPr>
        <w:pStyle w:val="Default"/>
        <w:spacing w:after="120"/>
        <w:jc w:val="both"/>
        <w:rPr>
          <w:rFonts w:asciiTheme="minorHAnsi" w:hAnsiTheme="minorHAnsi" w:cstheme="minorHAnsi"/>
          <w:b/>
          <w:color w:val="auto"/>
          <w:sz w:val="20"/>
          <w:szCs w:val="20"/>
          <w:lang w:val="et-EE"/>
        </w:rPr>
      </w:pPr>
      <w:r w:rsidRPr="009739BF">
        <w:rPr>
          <w:rFonts w:asciiTheme="minorHAnsi" w:hAnsiTheme="minorHAnsi" w:cstheme="minorHAnsi"/>
          <w:b/>
          <w:bCs/>
          <w:color w:val="auto"/>
          <w:sz w:val="20"/>
          <w:szCs w:val="20"/>
          <w:lang w:val="et-EE"/>
        </w:rPr>
        <w:lastRenderedPageBreak/>
        <w:t>Jätkusuutlikkusteguritele avalduva põhilise negatiivse mõju tuvastamise ja prioriseerimise põhimõtete kirjeldus</w:t>
      </w:r>
    </w:p>
    <w:p w14:paraId="20556E4C" w14:textId="0AF7949A" w:rsidR="000A2948" w:rsidRPr="009739BF" w:rsidRDefault="000A2948" w:rsidP="0031597F">
      <w:pPr>
        <w:spacing w:after="120"/>
        <w:jc w:val="both"/>
        <w:rPr>
          <w:rFonts w:cstheme="minorHAnsi"/>
          <w:sz w:val="20"/>
          <w:szCs w:val="20"/>
          <w:lang w:val="et-EE"/>
        </w:rPr>
      </w:pPr>
      <w:r w:rsidRPr="009739BF">
        <w:rPr>
          <w:rFonts w:cstheme="minorHAnsi"/>
          <w:sz w:val="20"/>
          <w:szCs w:val="20"/>
          <w:lang w:val="et-EE"/>
        </w:rPr>
        <w:t xml:space="preserve">ERGO investeeringute protsesse kontrollib ja juhib tsentraalselt Munich Re eriotstarbeline kontserni investeeringute juhtimise (GIM - Group Investment Management) osakond. Investeeringute valikul võetakse arvesse ESG kriteeriume, mille jaoks on kehtestatud kogu kontserni hõlmav siduv suunis, „Vastutustundliku investeerimise suunis“. Selle koostab ja vaatab korrapäraselt läbi </w:t>
      </w:r>
      <w:proofErr w:type="spellStart"/>
      <w:r w:rsidRPr="009739BF">
        <w:rPr>
          <w:rFonts w:cstheme="minorHAnsi"/>
          <w:sz w:val="20"/>
          <w:szCs w:val="20"/>
          <w:lang w:val="et-EE"/>
        </w:rPr>
        <w:t>GIMi</w:t>
      </w:r>
      <w:proofErr w:type="spellEnd"/>
      <w:r w:rsidRPr="009739BF">
        <w:rPr>
          <w:rFonts w:cstheme="minorHAnsi"/>
          <w:sz w:val="20"/>
          <w:szCs w:val="20"/>
          <w:lang w:val="et-EE"/>
        </w:rPr>
        <w:t xml:space="preserve"> ESG investeeringute üksus.</w:t>
      </w:r>
    </w:p>
    <w:p w14:paraId="6BF670D6" w14:textId="3C5A08BB" w:rsidR="00503DC9" w:rsidRPr="009739BF" w:rsidRDefault="00503DC9" w:rsidP="00503DC9">
      <w:pPr>
        <w:pStyle w:val="NormalWeb"/>
        <w:rPr>
          <w:rFonts w:asciiTheme="minorHAnsi" w:hAnsiTheme="minorHAnsi" w:cstheme="minorHAnsi"/>
          <w:sz w:val="20"/>
          <w:szCs w:val="20"/>
          <w:lang w:val="et-EE"/>
        </w:rPr>
      </w:pPr>
      <w:r w:rsidRPr="009739BF">
        <w:rPr>
          <w:rFonts w:asciiTheme="minorHAnsi" w:hAnsiTheme="minorHAnsi" w:cstheme="minorHAnsi"/>
          <w:sz w:val="20"/>
          <w:szCs w:val="20"/>
          <w:lang w:val="et-EE"/>
        </w:rPr>
        <w:t>Praegu kehtiva versiooni kinnitas – pärast Munich Re heakskiitu - 21.06.2023 ERGO Group AG juhatus ja 29.06.2023 ERGO International AG juhatus. ERGO juhatus otsustas kohaldada direktiivi 15.09.2023. Jätkusuutlikkust käsitleva teabe avalikustamist finantsteenuste sektoris käsitlevast määrusest (EL) 2019/2088 tulenevate aruandluskohustuste rakendamine ja vajaliku ESG andmete hoidla loomine on alates 2021. aastast toimunud kogu kontserni hõlmavate projektide kaudu.</w:t>
      </w:r>
    </w:p>
    <w:p w14:paraId="4741E848" w14:textId="7A2300AA" w:rsidR="00FD7C0A" w:rsidRPr="009739BF" w:rsidRDefault="00FD7C0A" w:rsidP="00FD7C0A">
      <w:pPr>
        <w:spacing w:after="120"/>
        <w:jc w:val="both"/>
        <w:rPr>
          <w:rFonts w:cstheme="minorHAnsi"/>
          <w:sz w:val="20"/>
          <w:szCs w:val="20"/>
          <w:lang w:val="et-EE"/>
        </w:rPr>
      </w:pPr>
      <w:r w:rsidRPr="009739BF">
        <w:rPr>
          <w:rFonts w:cstheme="minorHAnsi"/>
          <w:sz w:val="20"/>
          <w:szCs w:val="20"/>
          <w:lang w:val="et-EE"/>
        </w:rPr>
        <w:t xml:space="preserve">Investeerimisportfelli jätkusuutlikkusnäitajaid kogub peamiselt meie varahaldur MEAG, tuginedes likviidsete investeeringute puhul välistele andmeesitajatele, nagu MSCI ESG Research ja ISS Corporate Solutions. Kinnisvara ja mittelikviidsete investeeringute puhul täiendame andmeid enda ning </w:t>
      </w:r>
      <w:proofErr w:type="spellStart"/>
      <w:r w:rsidRPr="009739BF">
        <w:rPr>
          <w:rFonts w:cstheme="minorHAnsi"/>
          <w:sz w:val="20"/>
          <w:szCs w:val="20"/>
          <w:lang w:val="et-EE"/>
        </w:rPr>
        <w:t>MEAG-i</w:t>
      </w:r>
      <w:proofErr w:type="spellEnd"/>
      <w:r w:rsidRPr="009739BF">
        <w:rPr>
          <w:rFonts w:cstheme="minorHAnsi"/>
          <w:sz w:val="20"/>
          <w:szCs w:val="20"/>
          <w:lang w:val="et-EE"/>
        </w:rPr>
        <w:t xml:space="preserve"> </w:t>
      </w:r>
      <w:proofErr w:type="spellStart"/>
      <w:r w:rsidRPr="009739BF">
        <w:rPr>
          <w:rFonts w:cstheme="minorHAnsi"/>
          <w:sz w:val="20"/>
          <w:szCs w:val="20"/>
          <w:lang w:val="et-EE"/>
        </w:rPr>
        <w:t>siseanalüüsidega</w:t>
      </w:r>
      <w:proofErr w:type="spellEnd"/>
      <w:r w:rsidRPr="009739BF">
        <w:rPr>
          <w:rFonts w:cstheme="minorHAnsi"/>
          <w:sz w:val="20"/>
          <w:szCs w:val="20"/>
          <w:lang w:val="et-EE"/>
        </w:rPr>
        <w:t>. Turul kättesaadavad andmed on siiski ebatäielikud, sest kõik ettevõtted üle maailma ei ole tegelikult kohustatud asjaomaseid andmeid avaldama. Olemasolevate andmete kvaliteet paraneb alles lähiaastatel ja me võtame vastu asjaomased standardid.</w:t>
      </w:r>
    </w:p>
    <w:p w14:paraId="2D643F47" w14:textId="785C11A9" w:rsidR="005B4E80" w:rsidRPr="009739BF" w:rsidRDefault="00FD7C0A" w:rsidP="000B2F94">
      <w:pPr>
        <w:spacing w:after="120"/>
        <w:jc w:val="both"/>
        <w:rPr>
          <w:rFonts w:ascii="FS Me" w:hAnsi="FS Me" w:cstheme="majorHAnsi"/>
          <w:sz w:val="18"/>
          <w:szCs w:val="18"/>
          <w:lang w:val="et-EE"/>
        </w:rPr>
      </w:pPr>
      <w:r w:rsidRPr="009739BF">
        <w:rPr>
          <w:sz w:val="20"/>
          <w:szCs w:val="20"/>
          <w:lang w:val="et-EE"/>
        </w:rPr>
        <w:t>Aruandesse ei ole lisatud andmeid klientide arvel ja riskil põhineva investeerimisriskiga elukindlustuse fondide kohta. Selle põhjuseks on fondide esitatud andmete kehv kvaliteet. Kuna märkimisväärne osa fondidest esitas ebaõigeid andmeid, põhineb meie väljaanne 2023. aastal endiselt otseinvesteeringutel. Järgnevatel aastatel on meie eesmärk lisada fondide andmed täiustatud andmebaasi.</w:t>
      </w:r>
    </w:p>
    <w:p w14:paraId="4678FE6B" w14:textId="292FE4AB" w:rsidR="00FD7C0A" w:rsidRPr="009739BF" w:rsidRDefault="005D4282" w:rsidP="00FD7C0A">
      <w:pPr>
        <w:spacing w:after="120"/>
        <w:jc w:val="both"/>
        <w:rPr>
          <w:rFonts w:cstheme="minorHAnsi"/>
          <w:color w:val="00B050"/>
          <w:sz w:val="20"/>
          <w:szCs w:val="20"/>
          <w:lang w:val="et-EE"/>
        </w:rPr>
      </w:pPr>
      <w:r w:rsidRPr="009739BF">
        <w:rPr>
          <w:rFonts w:cstheme="minorHAnsi"/>
          <w:sz w:val="20"/>
          <w:szCs w:val="20"/>
          <w:lang w:val="et-EE"/>
        </w:rPr>
        <w:t>Mis puudutab võimalikke vigade allikaid, siis MEAG tugineb kontserni finantsfunktsiooni raames suures osas kolmandatelt isikutelt saadud andmetele. Need andmed võivad osutuda ebatäielikuks, aegunud või vääraks. Me püüame neid võimalikke vigu vähendada kolmandatest osalistest teenusepakkujate hoolika valiku ja kasutatavate meetodite regulaarse läbivaatamise teel.</w:t>
      </w:r>
    </w:p>
    <w:p w14:paraId="6808C499" w14:textId="30537C1F" w:rsidR="005D4282" w:rsidRPr="009739BF" w:rsidRDefault="00FD7C0A" w:rsidP="00C936CB">
      <w:pPr>
        <w:spacing w:after="120"/>
        <w:jc w:val="both"/>
        <w:rPr>
          <w:rFonts w:cstheme="minorHAnsi"/>
          <w:sz w:val="20"/>
          <w:szCs w:val="20"/>
          <w:lang w:val="et-EE"/>
        </w:rPr>
      </w:pPr>
      <w:r w:rsidRPr="009739BF">
        <w:rPr>
          <w:sz w:val="20"/>
          <w:szCs w:val="20"/>
          <w:lang w:val="et-EE"/>
        </w:rPr>
        <w:t>Eespool toodud tabelis on 18 kohustuslikku näitajat, mis on seotud äriühingutesse tehtavate investeeringutega. Peale selle tuleb valida üks lisanäitaja nii kliima ja muude keskkonnanäitajate kui ka töötajatega seotud ja sotsiaalküsimuste, inimõiguste austamise ning korruptsiooni- ja altkäemaksuvastase võitlusega seotud näitajate hulgast. Siinkohal avalikustame kaks näitajat: „Investeeringud äriühingutesse, millel puuduvad süsinikdioksiidi heitkoguste vähendamise algatused“, „Kokkupuude suure veestressiga aladega“ ja „Õnnetuste määr“ ning „Inimõigusi käsitleva poliitika puudumine“.</w:t>
      </w:r>
    </w:p>
    <w:p w14:paraId="1A019B0E" w14:textId="3870D956" w:rsidR="00D57CBD" w:rsidRPr="009739BF" w:rsidRDefault="005D4282" w:rsidP="00FD7C0A">
      <w:pPr>
        <w:spacing w:after="120"/>
        <w:jc w:val="both"/>
        <w:rPr>
          <w:rFonts w:cstheme="minorHAnsi"/>
          <w:color w:val="00B050"/>
          <w:sz w:val="20"/>
          <w:szCs w:val="20"/>
          <w:lang w:val="et-EE"/>
        </w:rPr>
      </w:pPr>
      <w:r w:rsidRPr="009739BF">
        <w:rPr>
          <w:rFonts w:cstheme="minorHAnsi"/>
          <w:sz w:val="20"/>
          <w:szCs w:val="20"/>
          <w:lang w:val="et-EE"/>
        </w:rPr>
        <w:t>Valiku aluseks on meie seisukoht, et veepuudus on üks kõige pakilisemaid üleilmseid probleeme, mis on tihedalt seotud kliimamuutustega. Lisaks peame ohutuid töötingimusi väga tähtsaks kõikide tööstusharude jaoks, kusjuures tööõnnetuste raskusaste on eriti suur riikides, kus ohutusnormid on puudulikud.</w:t>
      </w:r>
    </w:p>
    <w:p w14:paraId="47D5F03C" w14:textId="7F1E889C" w:rsidR="005D4282" w:rsidRPr="009739BF" w:rsidRDefault="0005719B" w:rsidP="0031597F">
      <w:pPr>
        <w:spacing w:after="120"/>
        <w:jc w:val="both"/>
        <w:rPr>
          <w:rFonts w:ascii="FS Me" w:hAnsi="FS Me" w:cstheme="majorHAnsi"/>
          <w:sz w:val="18"/>
          <w:szCs w:val="18"/>
          <w:lang w:val="et-EE"/>
        </w:rPr>
      </w:pPr>
      <w:r w:rsidRPr="009739BF">
        <w:rPr>
          <w:sz w:val="20"/>
          <w:szCs w:val="20"/>
          <w:lang w:val="et-EE"/>
        </w:rPr>
        <w:t>Kõigi investeerimisotsuste puhul järgitakse äriühingusiseseid investeerimispõhimõtteid ja -suuniseid, mis kehtivad kogu ERGO portfelli suhtes. Sealjuures ei ole tähtis, kas investeeringuid haldab äriühing ise, kontserni varahaldur MEAG või kolmas isik. Investeerimispõhimõtted ei kehti siiski selliste investeerimistoodete (nt investeerimisfondide) osas, mille sisu ei saa mõjutada. Sellistel juhtudel on kõige tähtsam toodete valik.</w:t>
      </w:r>
    </w:p>
    <w:p w14:paraId="04E555F2" w14:textId="290A22EA" w:rsidR="005D4282" w:rsidRPr="009739BF" w:rsidRDefault="005D4282" w:rsidP="005D4282">
      <w:pPr>
        <w:pStyle w:val="NormalWeb"/>
        <w:rPr>
          <w:rFonts w:asciiTheme="minorHAnsi" w:hAnsiTheme="minorHAnsi" w:cstheme="minorHAnsi"/>
          <w:sz w:val="20"/>
          <w:szCs w:val="20"/>
          <w:lang w:val="et-EE"/>
        </w:rPr>
      </w:pPr>
      <w:r w:rsidRPr="009739BF">
        <w:rPr>
          <w:rFonts w:asciiTheme="minorHAnsi" w:hAnsiTheme="minorHAnsi" w:cstheme="minorHAnsi"/>
          <w:sz w:val="20"/>
          <w:szCs w:val="20"/>
          <w:lang w:val="et-EE"/>
        </w:rPr>
        <w:t>Investeerimisprotsessis seame praegu prioriteediks PAI näitajad keskkonna vallas koos kasvuhoonegaaside heitkoguste, süsinikujälje ja fossiilkütuste sektoris tegutsevate äriühingutega seotud jätkusuutlikkuse näitajatega. Sotsiaal- ja tööhõivevaldkonnas keskendume PAI näitajatele, mis käsitlevad ÜRO üleilmse kokkuleppe põhimõtete rikkumist, vastuoluliste relvade tootjatele võetud kohustusi ja investeeringuid riikides, mis rikuvad sotsiaalseid eeskirju.</w:t>
      </w:r>
    </w:p>
    <w:p w14:paraId="539AA345" w14:textId="516BD191" w:rsidR="0005719B" w:rsidRPr="009739BF" w:rsidRDefault="0005719B" w:rsidP="0005719B">
      <w:pPr>
        <w:spacing w:after="120"/>
        <w:jc w:val="both"/>
        <w:rPr>
          <w:rFonts w:cstheme="minorHAnsi"/>
          <w:sz w:val="20"/>
          <w:szCs w:val="20"/>
          <w:lang w:val="et-EE"/>
        </w:rPr>
      </w:pPr>
      <w:r w:rsidRPr="009739BF">
        <w:rPr>
          <w:rFonts w:cstheme="minorHAnsi"/>
          <w:sz w:val="20"/>
          <w:szCs w:val="20"/>
          <w:lang w:val="et-EE"/>
        </w:rPr>
        <w:t>Peale selle vähendatakse riske investeerimisobjektide sihipärase valiku ja riskide hajutamise teel. Samuti võetakse arvesse asjakohaseid jätkusuutlikkusriske, mis võivad avaldada märkimisväärset negatiivset mõju investeeringu tasuvusele. Sama kehtib ka investeerimisotsuse põhilise negatiivse mõju kohta jätkusuutlikkusteguritele. Limiidisüsteemid ja kontrollimehhanismid tagavad, et eri emitentide, varade või turgude osakaal ei muutuks ülemäära suureks.</w:t>
      </w:r>
    </w:p>
    <w:p w14:paraId="1F97F5EA" w14:textId="780D3508" w:rsidR="00275CDB" w:rsidRPr="009739BF" w:rsidRDefault="005D4282" w:rsidP="00B012A6">
      <w:pPr>
        <w:spacing w:after="120"/>
        <w:jc w:val="both"/>
        <w:rPr>
          <w:rFonts w:cstheme="minorHAnsi"/>
          <w:sz w:val="20"/>
          <w:szCs w:val="20"/>
          <w:lang w:val="et-EE"/>
        </w:rPr>
      </w:pPr>
      <w:r w:rsidRPr="009739BF">
        <w:rPr>
          <w:rFonts w:cstheme="minorHAnsi"/>
          <w:sz w:val="20"/>
          <w:szCs w:val="20"/>
          <w:lang w:val="et-EE"/>
        </w:rPr>
        <w:lastRenderedPageBreak/>
        <w:t>ESG kriteeriumide lõimimine on meie investeerimisstrateegia tähtis osa. Järgmiste varaklasside puhul võtab MEAG seetõttu uutes investeerimisotsustes arvesse individuaalselt määratletud ESG kriteeriume. ESG kriteeriume saab investeerimisprotsessi lõimida ainult siis, kui need tehakse asjaomaste andmete ja analüüside kaudu läbipaistvaks. Meie eesmärk on suurendada pidevalt ESG kriteeriumide läbipaistvust, kontrollides börsil noteeritud investeeringute emitentide ESG reitinguid ja analüüsides alternatiivsete investeeringute konkreetseid ESG kriteeriume.</w:t>
      </w:r>
    </w:p>
    <w:p w14:paraId="128C79E7" w14:textId="315E62FA" w:rsidR="000A1E9F" w:rsidRPr="009739BF" w:rsidRDefault="0005719B" w:rsidP="00B012A6">
      <w:pPr>
        <w:spacing w:after="120"/>
        <w:jc w:val="both"/>
        <w:rPr>
          <w:rFonts w:cstheme="minorHAnsi"/>
          <w:sz w:val="20"/>
          <w:szCs w:val="20"/>
          <w:lang w:val="et-EE"/>
        </w:rPr>
      </w:pPr>
      <w:r w:rsidRPr="009739BF">
        <w:rPr>
          <w:rFonts w:cstheme="minorHAnsi"/>
          <w:sz w:val="20"/>
          <w:szCs w:val="20"/>
          <w:lang w:val="et-EE"/>
        </w:rPr>
        <w:t>Allpool esitatud joonisel on näidatud, kuidas jätkusuutlikkusteemad on kaasatud eri varaklasside investeerimisprotsessi.</w:t>
      </w:r>
    </w:p>
    <w:p w14:paraId="138A5690" w14:textId="618FD346" w:rsidR="00B012A6" w:rsidRPr="009739BF" w:rsidRDefault="00B012A6" w:rsidP="00187579">
      <w:pPr>
        <w:spacing w:after="120"/>
        <w:jc w:val="center"/>
        <w:rPr>
          <w:rFonts w:ascii="FS Me" w:hAnsi="FS Me" w:cstheme="majorHAnsi"/>
          <w:sz w:val="18"/>
          <w:szCs w:val="18"/>
          <w:lang w:val="et-EE"/>
        </w:rPr>
      </w:pPr>
    </w:p>
    <w:p w14:paraId="464E8B2B" w14:textId="1EA23534" w:rsidR="00B27C13" w:rsidRPr="009739BF" w:rsidRDefault="000B31E7" w:rsidP="00507662">
      <w:pPr>
        <w:spacing w:after="120"/>
        <w:jc w:val="both"/>
        <w:rPr>
          <w:rFonts w:ascii="FS Me" w:hAnsi="FS Me" w:cstheme="majorHAnsi"/>
          <w:color w:val="FF0000"/>
          <w:sz w:val="18"/>
          <w:szCs w:val="18"/>
          <w:lang w:val="et-EE"/>
        </w:rPr>
      </w:pPr>
      <w:r w:rsidRPr="009739BF">
        <w:rPr>
          <w:noProof/>
          <w:lang w:val="et-EE"/>
        </w:rPr>
        <w:drawing>
          <wp:inline distT="0" distB="0" distL="0" distR="0" wp14:anchorId="038B1AEE" wp14:editId="21AB7416">
            <wp:extent cx="6210935" cy="27590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10935" cy="2759075"/>
                    </a:xfrm>
                    <a:prstGeom prst="rect">
                      <a:avLst/>
                    </a:prstGeom>
                  </pic:spPr>
                </pic:pic>
              </a:graphicData>
            </a:graphic>
          </wp:inline>
        </w:drawing>
      </w:r>
    </w:p>
    <w:p w14:paraId="7D84E346" w14:textId="0DCD7FF1" w:rsidR="0067209E" w:rsidRPr="009739BF" w:rsidRDefault="0067209E" w:rsidP="0067209E">
      <w:pPr>
        <w:spacing w:after="120"/>
        <w:jc w:val="both"/>
        <w:rPr>
          <w:rFonts w:cstheme="minorHAnsi"/>
          <w:sz w:val="20"/>
          <w:szCs w:val="20"/>
          <w:lang w:val="et-EE"/>
        </w:rPr>
      </w:pPr>
      <w:r w:rsidRPr="009739BF">
        <w:rPr>
          <w:rFonts w:cstheme="minorHAnsi"/>
          <w:sz w:val="20"/>
          <w:szCs w:val="20"/>
          <w:lang w:val="et-EE"/>
        </w:rPr>
        <w:t>Likviidsete varaklasside, näiteks aktsiate, äriühingute, riigivõlakirjade või tagatud võlakirjade korral teeme ESG kontrolli valdava osa varade puhul. Meie eesmärk on katta üle 80% nendest varadest Munich Re kontserni tasandil ESG kontrollide abil.</w:t>
      </w:r>
    </w:p>
    <w:p w14:paraId="2B30876B" w14:textId="0B37D919" w:rsidR="0067209E" w:rsidRPr="009739BF" w:rsidRDefault="006827C1" w:rsidP="005D4282">
      <w:pPr>
        <w:spacing w:before="240" w:after="100" w:afterAutospacing="1"/>
        <w:jc w:val="both"/>
        <w:rPr>
          <w:rFonts w:cstheme="minorHAnsi"/>
          <w:sz w:val="20"/>
          <w:szCs w:val="20"/>
          <w:lang w:val="et-EE"/>
        </w:rPr>
      </w:pPr>
      <w:r w:rsidRPr="009739BF">
        <w:rPr>
          <w:sz w:val="20"/>
          <w:szCs w:val="20"/>
          <w:lang w:val="et-EE"/>
        </w:rPr>
        <w:t>ERGO on teadlik, et ESG valdkonna nõuded on karmistumas. Seepärast täiustatakse pidevalt praegust lähenemisviisi, võttes arvesse muutuvat õiguskeskkonda ja klientide lisanõudmisi.</w:t>
      </w:r>
      <w:r w:rsidRPr="009739BF">
        <w:rPr>
          <w:rFonts w:ascii="FS Me" w:hAnsi="FS Me"/>
          <w:sz w:val="18"/>
          <w:szCs w:val="18"/>
          <w:lang w:val="et-EE"/>
        </w:rPr>
        <w:t xml:space="preserve"> </w:t>
      </w:r>
      <w:r w:rsidRPr="009739BF">
        <w:rPr>
          <w:sz w:val="20"/>
          <w:szCs w:val="20"/>
          <w:lang w:val="et-EE"/>
        </w:rPr>
        <w:t>Seega on aastate jooksul investeerimispõhimõtteid täiustatud ja täiendatud.</w:t>
      </w:r>
    </w:p>
    <w:p w14:paraId="7F66D71B" w14:textId="3C83A071" w:rsidR="002635D0" w:rsidRPr="009739BF" w:rsidRDefault="002635D0" w:rsidP="00DC4872">
      <w:pPr>
        <w:pStyle w:val="Default"/>
        <w:spacing w:after="120"/>
        <w:jc w:val="both"/>
        <w:rPr>
          <w:rFonts w:asciiTheme="minorHAnsi" w:hAnsiTheme="minorHAnsi" w:cstheme="minorHAnsi"/>
          <w:b/>
          <w:bCs/>
          <w:color w:val="auto"/>
          <w:sz w:val="20"/>
          <w:szCs w:val="20"/>
          <w:lang w:val="et-EE"/>
        </w:rPr>
      </w:pPr>
    </w:p>
    <w:p w14:paraId="2447E9ED" w14:textId="77777777" w:rsidR="00AE4A1C" w:rsidRPr="009739BF" w:rsidRDefault="00AE4A1C" w:rsidP="00AE4A1C">
      <w:pPr>
        <w:pStyle w:val="Default"/>
        <w:spacing w:after="120"/>
        <w:jc w:val="both"/>
        <w:rPr>
          <w:rFonts w:asciiTheme="minorHAnsi" w:hAnsiTheme="minorHAnsi" w:cstheme="minorHAnsi"/>
          <w:b/>
          <w:bCs/>
          <w:color w:val="auto"/>
          <w:sz w:val="20"/>
          <w:szCs w:val="20"/>
          <w:lang w:val="et-EE"/>
        </w:rPr>
      </w:pPr>
      <w:r w:rsidRPr="009739BF">
        <w:rPr>
          <w:rFonts w:asciiTheme="minorHAnsi" w:hAnsiTheme="minorHAnsi" w:cstheme="minorHAnsi"/>
          <w:b/>
          <w:bCs/>
          <w:color w:val="auto"/>
          <w:sz w:val="20"/>
          <w:szCs w:val="20"/>
          <w:lang w:val="et-EE"/>
        </w:rPr>
        <w:t>Kaasamispõhimõtted</w:t>
      </w:r>
    </w:p>
    <w:p w14:paraId="6BC0690F" w14:textId="1FB1E964" w:rsidR="00261199" w:rsidRPr="009739BF" w:rsidRDefault="00AE4A1C" w:rsidP="00261199">
      <w:pPr>
        <w:pStyle w:val="NormalWeb"/>
        <w:spacing w:before="0" w:beforeAutospacing="0" w:after="120" w:afterAutospacing="0"/>
        <w:jc w:val="both"/>
        <w:rPr>
          <w:rFonts w:asciiTheme="minorHAnsi" w:eastAsiaTheme="minorHAnsi" w:hAnsiTheme="minorHAnsi" w:cstheme="minorHAnsi"/>
          <w:sz w:val="20"/>
          <w:szCs w:val="20"/>
          <w:lang w:val="et-EE"/>
        </w:rPr>
      </w:pPr>
      <w:r w:rsidRPr="009739BF">
        <w:rPr>
          <w:rFonts w:asciiTheme="minorHAnsi" w:eastAsiaTheme="minorHAnsi" w:hAnsiTheme="minorHAnsi" w:cstheme="minorHAnsi"/>
          <w:sz w:val="20"/>
          <w:szCs w:val="20"/>
          <w:lang w:val="et-EE"/>
        </w:rPr>
        <w:t>Meie kontsern kaasab sihtettevõtteid individuaalselt või kollektiivsete algatuste kaudu. Üks koostööplatvorm on algatus „</w:t>
      </w:r>
      <w:proofErr w:type="spellStart"/>
      <w:r w:rsidRPr="009739BF">
        <w:rPr>
          <w:rFonts w:asciiTheme="minorHAnsi" w:eastAsiaTheme="minorHAnsi" w:hAnsiTheme="minorHAnsi" w:cstheme="minorHAnsi"/>
          <w:sz w:val="20"/>
          <w:szCs w:val="20"/>
          <w:lang w:val="et-EE"/>
        </w:rPr>
        <w:t>Climate</w:t>
      </w:r>
      <w:proofErr w:type="spellEnd"/>
      <w:r w:rsidRPr="009739BF">
        <w:rPr>
          <w:rFonts w:asciiTheme="minorHAnsi" w:eastAsiaTheme="minorHAnsi" w:hAnsiTheme="minorHAnsi" w:cstheme="minorHAnsi"/>
          <w:sz w:val="20"/>
          <w:szCs w:val="20"/>
          <w:lang w:val="et-EE"/>
        </w:rPr>
        <w:t xml:space="preserve"> </w:t>
      </w:r>
      <w:proofErr w:type="spellStart"/>
      <w:r w:rsidRPr="009739BF">
        <w:rPr>
          <w:rFonts w:asciiTheme="minorHAnsi" w:eastAsiaTheme="minorHAnsi" w:hAnsiTheme="minorHAnsi" w:cstheme="minorHAnsi"/>
          <w:sz w:val="20"/>
          <w:szCs w:val="20"/>
          <w:lang w:val="et-EE"/>
        </w:rPr>
        <w:t>Action</w:t>
      </w:r>
      <w:proofErr w:type="spellEnd"/>
      <w:r w:rsidRPr="009739BF">
        <w:rPr>
          <w:rFonts w:asciiTheme="minorHAnsi" w:eastAsiaTheme="minorHAnsi" w:hAnsiTheme="minorHAnsi" w:cstheme="minorHAnsi"/>
          <w:sz w:val="20"/>
          <w:szCs w:val="20"/>
          <w:lang w:val="et-EE"/>
        </w:rPr>
        <w:t xml:space="preserve"> 100+“, millega Munich Re ja MEAG liitusid 2020. aastal ning mis on üks suuremaid investorite juhitud algatusi kogu maailmas. Oleme veendunud, et positiivseid muutusi saab saavutada meie investeerimisobjektide ja emitentidega konstruktiivse dialoogi pidamise teel. Meie kaasamine keskendub ESG kriteeriumide pidevale parandamisele.</w:t>
      </w:r>
    </w:p>
    <w:p w14:paraId="52C1FAF7" w14:textId="77777777" w:rsidR="005D4282" w:rsidRPr="009739BF" w:rsidRDefault="00261199" w:rsidP="00261199">
      <w:pPr>
        <w:pStyle w:val="NormalWeb"/>
        <w:spacing w:before="0" w:beforeAutospacing="0" w:after="120" w:afterAutospacing="0"/>
        <w:jc w:val="both"/>
        <w:rPr>
          <w:rFonts w:asciiTheme="minorHAnsi" w:eastAsiaTheme="minorHAnsi" w:hAnsiTheme="minorHAnsi" w:cstheme="minorHAnsi"/>
          <w:sz w:val="20"/>
          <w:szCs w:val="20"/>
          <w:lang w:val="et-EE"/>
        </w:rPr>
      </w:pPr>
      <w:r w:rsidRPr="009739BF">
        <w:rPr>
          <w:rFonts w:asciiTheme="minorHAnsi" w:eastAsiaTheme="minorHAnsi" w:hAnsiTheme="minorHAnsi" w:cstheme="minorHAnsi"/>
          <w:sz w:val="20"/>
          <w:szCs w:val="20"/>
          <w:lang w:val="et-EE"/>
        </w:rPr>
        <w:t>Dialoogi käigus käsitleme tähtsaid teemasid, nagu äriühingu juhtimise ranged standardid ning keskkonna- ja sotsiaalaspektide vastutustundlik haldamine. Muu hulgas keskendutakse kliimateemadele, mis on seotud kliimastrateegias seatud eesmärkidega. Kaasamise edukust hinnatakse igal aastal, kusjuures eesmärgiks on vähemalt kolmeaastane periood. Munich Re kontserni ESG investeeringute komitee osaleb eskaleerimisnõuete üle otsustamisel.</w:t>
      </w:r>
    </w:p>
    <w:p w14:paraId="30877917" w14:textId="07535495" w:rsidR="00261199" w:rsidRPr="009739BF" w:rsidRDefault="00261199" w:rsidP="00261199">
      <w:pPr>
        <w:pStyle w:val="NormalWeb"/>
        <w:spacing w:before="0" w:beforeAutospacing="0" w:after="120" w:afterAutospacing="0"/>
        <w:jc w:val="both"/>
        <w:rPr>
          <w:rFonts w:asciiTheme="minorHAnsi" w:hAnsiTheme="minorHAnsi" w:cstheme="minorHAnsi"/>
          <w:sz w:val="20"/>
          <w:szCs w:val="20"/>
          <w:lang w:val="et-EE"/>
        </w:rPr>
      </w:pPr>
      <w:r w:rsidRPr="009739BF">
        <w:rPr>
          <w:rFonts w:asciiTheme="minorHAnsi" w:hAnsiTheme="minorHAnsi" w:cstheme="minorHAnsi"/>
          <w:sz w:val="20"/>
          <w:szCs w:val="20"/>
          <w:lang w:val="et-EE"/>
        </w:rPr>
        <w:t>Kui kontserni enda varahaldur MEAG kasutab hääleõigust investeerimisobjektideks olevate äriühingute üldkoosolekutel, võetakse arvesse ka ESG kriteeriume.</w:t>
      </w:r>
    </w:p>
    <w:p w14:paraId="7C0AB616" w14:textId="515C9096" w:rsidR="00165B2B" w:rsidRPr="009739BF" w:rsidRDefault="005D4282" w:rsidP="00165B2B">
      <w:pPr>
        <w:pStyle w:val="NormalWeb"/>
        <w:spacing w:before="0" w:beforeAutospacing="0" w:after="120" w:afterAutospacing="0"/>
        <w:jc w:val="both"/>
        <w:rPr>
          <w:rFonts w:asciiTheme="minorHAnsi" w:eastAsiaTheme="minorHAnsi" w:hAnsiTheme="minorHAnsi" w:cstheme="minorHAnsi"/>
          <w:sz w:val="20"/>
          <w:szCs w:val="20"/>
          <w:lang w:val="et-EE"/>
        </w:rPr>
      </w:pPr>
      <w:r w:rsidRPr="009739BF">
        <w:rPr>
          <w:rFonts w:asciiTheme="minorHAnsi" w:eastAsiaTheme="minorHAnsi" w:hAnsiTheme="minorHAnsi" w:cstheme="minorHAnsi"/>
          <w:sz w:val="20"/>
          <w:szCs w:val="20"/>
          <w:lang w:val="et-EE"/>
        </w:rPr>
        <w:lastRenderedPageBreak/>
        <w:t>MEAG vaatab korrapäraselt läbi oma osaluspoliitika ja allpool kirjeldatud kaasamise lähenemisviisi, pidades silmas käsitletavaid põhiteemasid ning arvesse võetud PAI näitajaid, samuti eesmärkide saavutamisel tehtud edusamme, et teha vajaduse korral kohandusi.</w:t>
      </w:r>
    </w:p>
    <w:p w14:paraId="7CB66341" w14:textId="77777777" w:rsidR="00165B2B" w:rsidRPr="009739BF" w:rsidRDefault="00165B2B" w:rsidP="00261199">
      <w:pPr>
        <w:pStyle w:val="NormalWeb"/>
        <w:spacing w:before="0" w:beforeAutospacing="0" w:after="120" w:afterAutospacing="0"/>
        <w:jc w:val="both"/>
        <w:rPr>
          <w:rFonts w:asciiTheme="minorHAnsi" w:hAnsiTheme="minorHAnsi" w:cstheme="minorHAnsi"/>
          <w:sz w:val="20"/>
          <w:szCs w:val="20"/>
          <w:lang w:val="et-EE"/>
        </w:rPr>
      </w:pPr>
    </w:p>
    <w:p w14:paraId="20A12DE4" w14:textId="77777777" w:rsidR="00AE4A1C" w:rsidRPr="009739BF" w:rsidRDefault="00AE4A1C" w:rsidP="00AE4A1C">
      <w:pPr>
        <w:pStyle w:val="Default"/>
        <w:spacing w:before="240" w:after="120"/>
        <w:jc w:val="both"/>
        <w:rPr>
          <w:rFonts w:asciiTheme="minorHAnsi" w:hAnsiTheme="minorHAnsi" w:cstheme="minorHAnsi"/>
          <w:b/>
          <w:bCs/>
          <w:color w:val="auto"/>
          <w:sz w:val="20"/>
          <w:szCs w:val="20"/>
          <w:lang w:val="et-EE"/>
        </w:rPr>
      </w:pPr>
      <w:r w:rsidRPr="009739BF">
        <w:rPr>
          <w:rFonts w:asciiTheme="minorHAnsi" w:hAnsiTheme="minorHAnsi" w:cstheme="minorHAnsi"/>
          <w:b/>
          <w:bCs/>
          <w:color w:val="auto"/>
          <w:sz w:val="20"/>
          <w:szCs w:val="20"/>
          <w:lang w:val="et-EE"/>
        </w:rPr>
        <w:t>Viited rahvusvahelistele standarditele</w:t>
      </w:r>
    </w:p>
    <w:p w14:paraId="1DB2387B" w14:textId="22E094E6" w:rsidR="00181737" w:rsidRPr="009739BF" w:rsidRDefault="00AE4A1C" w:rsidP="00183F84">
      <w:pPr>
        <w:spacing w:after="120"/>
        <w:jc w:val="both"/>
        <w:rPr>
          <w:rFonts w:ascii="FS Me" w:hAnsi="FS Me"/>
          <w:sz w:val="18"/>
          <w:szCs w:val="18"/>
          <w:lang w:val="et-EE"/>
        </w:rPr>
      </w:pPr>
      <w:r w:rsidRPr="009739BF">
        <w:rPr>
          <w:sz w:val="20"/>
          <w:szCs w:val="20"/>
          <w:lang w:val="et-EE"/>
        </w:rPr>
        <w:t>Meie keskendumist vastutustundlikule äritegevusele rõhutab meie pikaajaline panustamine valdkonna põhialgatustele, sealhulgas jätkusuutliku kindlustuse põhimõtetele, ja ÜRO üleilmse kokkuleppe allkirjastamine.</w:t>
      </w:r>
    </w:p>
    <w:p w14:paraId="43662987" w14:textId="6DA7098C" w:rsidR="00181737" w:rsidRPr="009739BF" w:rsidRDefault="00181737" w:rsidP="00183F84">
      <w:pPr>
        <w:spacing w:after="120"/>
        <w:jc w:val="both"/>
        <w:rPr>
          <w:rFonts w:cstheme="minorHAnsi"/>
          <w:sz w:val="20"/>
          <w:szCs w:val="20"/>
          <w:lang w:val="et-EE"/>
        </w:rPr>
      </w:pPr>
      <w:r w:rsidRPr="009739BF">
        <w:rPr>
          <w:rFonts w:cstheme="minorHAnsi"/>
          <w:sz w:val="20"/>
          <w:szCs w:val="20"/>
          <w:lang w:val="et-EE"/>
        </w:rPr>
        <w:t>Munich Re kontserni osana järgib &lt;&lt;üksus&gt;&gt; ÜRO üleilmse kokkuleppe suuniseid, mille kümme põhimõtet on äriühingutele ja organisatsioonidele tunnustatud rahvusvaheline standard inimõiguste, tööõiguste, keskkonnakaitse ja korruptsioonivastase võitluse valdkonnas.</w:t>
      </w:r>
    </w:p>
    <w:p w14:paraId="4ED6D710" w14:textId="0DDFEE14" w:rsidR="00181737" w:rsidRPr="009739BF" w:rsidRDefault="00181737" w:rsidP="00183F84">
      <w:pPr>
        <w:spacing w:after="120"/>
        <w:jc w:val="both"/>
        <w:rPr>
          <w:rFonts w:cstheme="minorHAnsi"/>
          <w:sz w:val="20"/>
          <w:szCs w:val="20"/>
          <w:lang w:val="et-EE"/>
        </w:rPr>
      </w:pPr>
      <w:r w:rsidRPr="009739BF">
        <w:rPr>
          <w:rFonts w:cstheme="minorHAnsi"/>
          <w:sz w:val="20"/>
          <w:szCs w:val="20"/>
          <w:lang w:val="et-EE"/>
        </w:rPr>
        <w:t xml:space="preserve">Nende põhimõtete rikkumine mängib keskset rolli kohaldatavate välistuste puhul, mis on osa kontserni sisemise varahalduri </w:t>
      </w:r>
      <w:proofErr w:type="spellStart"/>
      <w:r w:rsidRPr="009739BF">
        <w:rPr>
          <w:rFonts w:cstheme="minorHAnsi"/>
          <w:sz w:val="20"/>
          <w:szCs w:val="20"/>
          <w:lang w:val="et-EE"/>
        </w:rPr>
        <w:t>MEAG-i</w:t>
      </w:r>
      <w:proofErr w:type="spellEnd"/>
      <w:r w:rsidRPr="009739BF">
        <w:rPr>
          <w:rFonts w:cstheme="minorHAnsi"/>
          <w:sz w:val="20"/>
          <w:szCs w:val="20"/>
          <w:lang w:val="et-EE"/>
        </w:rPr>
        <w:t xml:space="preserve"> läbiviidavast üldisest investeeringute hoolsuskohustusest ja koostööst äriühingutega, millesse on investeeritud (PAI näitaja „ÜRO üleilmse kokkuleppe põhimõtete või </w:t>
      </w:r>
      <w:proofErr w:type="spellStart"/>
      <w:r w:rsidRPr="009739BF">
        <w:rPr>
          <w:rFonts w:cstheme="minorHAnsi"/>
          <w:sz w:val="20"/>
          <w:szCs w:val="20"/>
          <w:lang w:val="et-EE"/>
        </w:rPr>
        <w:t>hargmaiseid</w:t>
      </w:r>
      <w:proofErr w:type="spellEnd"/>
      <w:r w:rsidRPr="009739BF">
        <w:rPr>
          <w:rFonts w:cstheme="minorHAnsi"/>
          <w:sz w:val="20"/>
          <w:szCs w:val="20"/>
          <w:lang w:val="et-EE"/>
        </w:rPr>
        <w:t xml:space="preserve"> ettevõtteid käsitlevate Majanduskoostöö ja Arengu Organisatsiooni (OECD) suuniste rikkumised“).</w:t>
      </w:r>
    </w:p>
    <w:p w14:paraId="2EAB64F8" w14:textId="676E51C7" w:rsidR="00AE4A1C" w:rsidRPr="009739BF" w:rsidRDefault="00181737" w:rsidP="00AE4A1C">
      <w:pPr>
        <w:spacing w:after="120"/>
        <w:rPr>
          <w:rFonts w:cstheme="minorHAnsi"/>
          <w:iCs/>
          <w:sz w:val="20"/>
          <w:szCs w:val="20"/>
          <w:lang w:val="et-EE"/>
        </w:rPr>
      </w:pPr>
      <w:r w:rsidRPr="009739BF">
        <w:rPr>
          <w:rFonts w:cstheme="minorHAnsi"/>
          <w:sz w:val="20"/>
          <w:szCs w:val="20"/>
          <w:lang w:val="et-EE"/>
        </w:rPr>
        <w:t>Me ei kasuta siinkohal tulevikku suunatud kliimastsenaariumit, sest see ei ole ülaltoodud põhimõtete seisukohalt asjakohane.</w:t>
      </w:r>
    </w:p>
    <w:p w14:paraId="004D4F05" w14:textId="78904F0C" w:rsidR="00AE4A1C" w:rsidRPr="009739BF" w:rsidRDefault="00AE4A1C" w:rsidP="00AE4A1C">
      <w:pPr>
        <w:spacing w:after="120"/>
        <w:jc w:val="both"/>
        <w:rPr>
          <w:rFonts w:cstheme="minorHAnsi"/>
          <w:sz w:val="20"/>
          <w:szCs w:val="20"/>
          <w:lang w:val="et-EE"/>
        </w:rPr>
      </w:pPr>
      <w:r w:rsidRPr="009739BF">
        <w:rPr>
          <w:rFonts w:cstheme="minorHAnsi"/>
          <w:sz w:val="20"/>
          <w:szCs w:val="20"/>
          <w:lang w:val="et-EE"/>
        </w:rPr>
        <w:t>Munich Re oli ka üks esimesi ÜRO vastutustundliku investeerimise põhimõtete allkirjastajaid (allkirjastatud 2006. aastal) ning kohustub järgima neid asjakohasel ja ettevaataval viisil. Sel viisil näitab kontsern ja seega ka ERGO välismaailmale, et vastutus on investeeringute puhul tähtis. Selle algatuse eesmärk on parandada arusaama investeerimistegevuse mõjust keskkonna-, sotsiaal- ja juhtimisküsimustele ning toetada allakirjutanuid nende küsimuste lõimimisel oma investeerimisotsustesse.</w:t>
      </w:r>
    </w:p>
    <w:p w14:paraId="30DD2CE3" w14:textId="1CBCFAF2" w:rsidR="00AE4A1C" w:rsidRPr="009739BF" w:rsidRDefault="00AE4A1C" w:rsidP="00AE4A1C">
      <w:pPr>
        <w:spacing w:after="120"/>
        <w:jc w:val="both"/>
        <w:rPr>
          <w:rFonts w:cstheme="minorHAnsi"/>
          <w:sz w:val="20"/>
          <w:szCs w:val="20"/>
          <w:lang w:val="et-EE"/>
        </w:rPr>
      </w:pPr>
      <w:r w:rsidRPr="009739BF">
        <w:rPr>
          <w:rFonts w:cstheme="minorHAnsi"/>
          <w:sz w:val="20"/>
          <w:szCs w:val="20"/>
          <w:lang w:val="et-EE"/>
        </w:rPr>
        <w:t>2020. aasta jaanuaris võttis kontsern algatusega „Net-</w:t>
      </w:r>
      <w:proofErr w:type="spellStart"/>
      <w:r w:rsidRPr="009739BF">
        <w:rPr>
          <w:rFonts w:cstheme="minorHAnsi"/>
          <w:sz w:val="20"/>
          <w:szCs w:val="20"/>
          <w:lang w:val="et-EE"/>
        </w:rPr>
        <w:t>Zero</w:t>
      </w:r>
      <w:proofErr w:type="spellEnd"/>
      <w:r w:rsidRPr="009739BF">
        <w:rPr>
          <w:rFonts w:cstheme="minorHAnsi"/>
          <w:sz w:val="20"/>
          <w:szCs w:val="20"/>
          <w:lang w:val="et-EE"/>
        </w:rPr>
        <w:t xml:space="preserve"> Asset </w:t>
      </w:r>
      <w:proofErr w:type="spellStart"/>
      <w:r w:rsidRPr="009739BF">
        <w:rPr>
          <w:rFonts w:cstheme="minorHAnsi"/>
          <w:sz w:val="20"/>
          <w:szCs w:val="20"/>
          <w:lang w:val="et-EE"/>
        </w:rPr>
        <w:t>Owner</w:t>
      </w:r>
      <w:proofErr w:type="spellEnd"/>
      <w:r w:rsidRPr="009739BF">
        <w:rPr>
          <w:rFonts w:cstheme="minorHAnsi"/>
          <w:sz w:val="20"/>
          <w:szCs w:val="20"/>
          <w:lang w:val="et-EE"/>
        </w:rPr>
        <w:t xml:space="preserve"> Alliance“ ühinedes kohustuse tagada 2050. aastaks oma investeerimisportfelli CO₂-neutraalsus. Kooskõlas Pariisi kliimakokkuleppe eesmärkidega on investorite algatuse eesmärk aidata kaasa keskmise üleilmse soojenemise hoidmisele alla 1,5 °C.</w:t>
      </w:r>
    </w:p>
    <w:p w14:paraId="4522C296" w14:textId="18F3E305" w:rsidR="000B31E7" w:rsidRPr="009739BF" w:rsidRDefault="00AE4A1C" w:rsidP="00EE05C7">
      <w:pPr>
        <w:spacing w:after="120"/>
        <w:jc w:val="both"/>
        <w:rPr>
          <w:rFonts w:cstheme="minorHAnsi"/>
          <w:sz w:val="20"/>
          <w:szCs w:val="20"/>
          <w:lang w:val="et-EE"/>
        </w:rPr>
      </w:pPr>
      <w:r w:rsidRPr="009739BF">
        <w:rPr>
          <w:rFonts w:cstheme="minorHAnsi"/>
          <w:sz w:val="20"/>
          <w:szCs w:val="20"/>
          <w:lang w:val="et-EE"/>
        </w:rPr>
        <w:t>Kontsern on pühendunud ka ESG riskide ja võimaluste arutamisele äriühingutega, kuhu ta soovib investeerida või kuhu ta on juba investeerinud. Munich Re on koos teiste äriühingutega ühinenud sel eesmärgil algatusega „</w:t>
      </w:r>
      <w:proofErr w:type="spellStart"/>
      <w:r w:rsidRPr="009739BF">
        <w:rPr>
          <w:rFonts w:cstheme="minorHAnsi"/>
          <w:sz w:val="20"/>
          <w:szCs w:val="20"/>
          <w:lang w:val="et-EE"/>
        </w:rPr>
        <w:t>Climate</w:t>
      </w:r>
      <w:proofErr w:type="spellEnd"/>
      <w:r w:rsidRPr="009739BF">
        <w:rPr>
          <w:rFonts w:cstheme="minorHAnsi"/>
          <w:sz w:val="20"/>
          <w:szCs w:val="20"/>
          <w:lang w:val="et-EE"/>
        </w:rPr>
        <w:t xml:space="preserve"> </w:t>
      </w:r>
      <w:proofErr w:type="spellStart"/>
      <w:r w:rsidRPr="009739BF">
        <w:rPr>
          <w:rFonts w:cstheme="minorHAnsi"/>
          <w:sz w:val="20"/>
          <w:szCs w:val="20"/>
          <w:lang w:val="et-EE"/>
        </w:rPr>
        <w:t>Action</w:t>
      </w:r>
      <w:proofErr w:type="spellEnd"/>
      <w:r w:rsidRPr="009739BF">
        <w:rPr>
          <w:rFonts w:cstheme="minorHAnsi"/>
          <w:sz w:val="20"/>
          <w:szCs w:val="20"/>
          <w:lang w:val="et-EE"/>
        </w:rPr>
        <w:t xml:space="preserve"> 100+“.</w:t>
      </w:r>
    </w:p>
    <w:p w14:paraId="126D961C" w14:textId="77777777" w:rsidR="0076534F" w:rsidRPr="009739BF" w:rsidRDefault="0076534F" w:rsidP="00EE05C7">
      <w:pPr>
        <w:spacing w:after="120"/>
        <w:jc w:val="both"/>
        <w:rPr>
          <w:rFonts w:cstheme="minorHAnsi"/>
          <w:sz w:val="20"/>
          <w:szCs w:val="20"/>
          <w:lang w:val="et-EE"/>
        </w:rPr>
      </w:pPr>
      <w:r w:rsidRPr="009739BF">
        <w:rPr>
          <w:rFonts w:cstheme="minorHAnsi"/>
          <w:sz w:val="20"/>
          <w:szCs w:val="20"/>
          <w:lang w:val="et-EE"/>
        </w:rPr>
        <w:t xml:space="preserve">Äriühingute valik, kellega algatus koostööd teeb, põhineb muu hulgas kasvuhoonegaaside heitkoguste </w:t>
      </w:r>
      <w:proofErr w:type="spellStart"/>
      <w:r w:rsidRPr="009739BF">
        <w:rPr>
          <w:rFonts w:cstheme="minorHAnsi"/>
          <w:sz w:val="20"/>
          <w:szCs w:val="20"/>
          <w:lang w:val="et-EE"/>
        </w:rPr>
        <w:t>fulgal</w:t>
      </w:r>
      <w:proofErr w:type="spellEnd"/>
      <w:r w:rsidRPr="009739BF">
        <w:rPr>
          <w:rFonts w:cstheme="minorHAnsi"/>
          <w:sz w:val="20"/>
          <w:szCs w:val="20"/>
          <w:lang w:val="et-EE"/>
        </w:rPr>
        <w:t xml:space="preserve"> (PAI näitaja). Ka kontserni jaoks on kasvuhoonegaaside heitkogused üks sellise kohustuse rakendamise valikukriteeriumidest. Algatuse „</w:t>
      </w:r>
      <w:proofErr w:type="spellStart"/>
      <w:r w:rsidRPr="009739BF">
        <w:rPr>
          <w:rFonts w:cstheme="minorHAnsi"/>
          <w:sz w:val="20"/>
          <w:szCs w:val="20"/>
          <w:lang w:val="et-EE"/>
        </w:rPr>
        <w:t>Climate</w:t>
      </w:r>
      <w:proofErr w:type="spellEnd"/>
      <w:r w:rsidRPr="009739BF">
        <w:rPr>
          <w:rFonts w:cstheme="minorHAnsi"/>
          <w:sz w:val="20"/>
          <w:szCs w:val="20"/>
          <w:lang w:val="et-EE"/>
        </w:rPr>
        <w:t xml:space="preserve"> </w:t>
      </w:r>
      <w:proofErr w:type="spellStart"/>
      <w:r w:rsidRPr="009739BF">
        <w:rPr>
          <w:rFonts w:cstheme="minorHAnsi"/>
          <w:sz w:val="20"/>
          <w:szCs w:val="20"/>
          <w:lang w:val="et-EE"/>
        </w:rPr>
        <w:t>Action</w:t>
      </w:r>
      <w:proofErr w:type="spellEnd"/>
      <w:r w:rsidRPr="009739BF">
        <w:rPr>
          <w:rFonts w:cstheme="minorHAnsi"/>
          <w:sz w:val="20"/>
          <w:szCs w:val="20"/>
          <w:lang w:val="et-EE"/>
        </w:rPr>
        <w:t xml:space="preserve"> 100+“ raames mõõdetakse edusamme meie kohustuste saavutamisel järgmiste põhipunktide alusel: juhatuse järelevalve tähtsate kliimaga seotud küsimuste üle, absoluutsete heitkoguste vähendamine ja kliimaga seotud äriteabe avalikustamine.</w:t>
      </w:r>
    </w:p>
    <w:p w14:paraId="06FB7F73" w14:textId="77777777" w:rsidR="0076534F" w:rsidRPr="009739BF" w:rsidRDefault="0076534F" w:rsidP="00EE05C7">
      <w:pPr>
        <w:spacing w:after="120"/>
        <w:jc w:val="both"/>
        <w:rPr>
          <w:rFonts w:cstheme="minorHAnsi"/>
          <w:sz w:val="20"/>
          <w:szCs w:val="20"/>
          <w:lang w:val="et-EE"/>
        </w:rPr>
      </w:pPr>
      <w:r w:rsidRPr="009739BF">
        <w:rPr>
          <w:rFonts w:cstheme="minorHAnsi"/>
          <w:sz w:val="20"/>
          <w:szCs w:val="20"/>
          <w:lang w:val="et-EE"/>
        </w:rPr>
        <w:t>Absoluutsete heitkoguste vähendamist kontrollitakse, et näha, kas asjaomastel äriühingutel on süsinikdioksiidi heitkoguste vähendamise eesmärgid ja sellele suunatud strateegiad (PAI näitaja „Äriühingud, kellel puuduvad algatused kasvuhoonegaaside heitkoguste vähendamiseks“, aruandlus alates 2024. aasta juulist). Nende äriühingute valimisel, kellega algatuse „</w:t>
      </w:r>
      <w:proofErr w:type="spellStart"/>
      <w:r w:rsidRPr="009739BF">
        <w:rPr>
          <w:rFonts w:cstheme="minorHAnsi"/>
          <w:sz w:val="20"/>
          <w:szCs w:val="20"/>
          <w:lang w:val="et-EE"/>
        </w:rPr>
        <w:t>Climate</w:t>
      </w:r>
      <w:proofErr w:type="spellEnd"/>
      <w:r w:rsidRPr="009739BF">
        <w:rPr>
          <w:rFonts w:cstheme="minorHAnsi"/>
          <w:sz w:val="20"/>
          <w:szCs w:val="20"/>
          <w:lang w:val="et-EE"/>
        </w:rPr>
        <w:t xml:space="preserve"> </w:t>
      </w:r>
      <w:proofErr w:type="spellStart"/>
      <w:r w:rsidRPr="009739BF">
        <w:rPr>
          <w:rFonts w:cstheme="minorHAnsi"/>
          <w:sz w:val="20"/>
          <w:szCs w:val="20"/>
          <w:lang w:val="et-EE"/>
        </w:rPr>
        <w:t>Action</w:t>
      </w:r>
      <w:proofErr w:type="spellEnd"/>
      <w:r w:rsidRPr="009739BF">
        <w:rPr>
          <w:rFonts w:cstheme="minorHAnsi"/>
          <w:sz w:val="20"/>
          <w:szCs w:val="20"/>
          <w:lang w:val="et-EE"/>
        </w:rPr>
        <w:t xml:space="preserve"> 100+“ raames võetakse kohustusi, ning eesmärkide saavutamise hindamisel hinnatakse muu hulgas ka äriühingute äristrateegia ja investeerimiskulutuste vastavust erinevatele kliimastsenaariumidele.</w:t>
      </w:r>
    </w:p>
    <w:p w14:paraId="72423268" w14:textId="3ED5EA46" w:rsidR="00AE4A1C" w:rsidRPr="009739BF" w:rsidRDefault="0076534F" w:rsidP="00AE4A1C">
      <w:pPr>
        <w:spacing w:after="120"/>
        <w:jc w:val="both"/>
        <w:rPr>
          <w:rFonts w:cstheme="minorHAnsi"/>
          <w:sz w:val="20"/>
          <w:szCs w:val="20"/>
          <w:lang w:val="et-EE"/>
        </w:rPr>
      </w:pPr>
      <w:r w:rsidRPr="009739BF">
        <w:rPr>
          <w:rFonts w:cstheme="minorHAnsi"/>
          <w:sz w:val="20"/>
          <w:szCs w:val="20"/>
          <w:lang w:val="et-EE"/>
        </w:rPr>
        <w:t xml:space="preserve">Selleks kasutatakse algatuse „Kliimameetmed 100+“ nullneto äriühingute võrdlusnäitajat Net </w:t>
      </w:r>
      <w:proofErr w:type="spellStart"/>
      <w:r w:rsidRPr="009739BF">
        <w:rPr>
          <w:rFonts w:cstheme="minorHAnsi"/>
          <w:sz w:val="20"/>
          <w:szCs w:val="20"/>
          <w:lang w:val="et-EE"/>
        </w:rPr>
        <w:t>Zero</w:t>
      </w:r>
      <w:proofErr w:type="spellEnd"/>
      <w:r w:rsidRPr="009739BF">
        <w:rPr>
          <w:rFonts w:cstheme="minorHAnsi"/>
          <w:sz w:val="20"/>
          <w:szCs w:val="20"/>
          <w:lang w:val="et-EE"/>
        </w:rPr>
        <w:t xml:space="preserve"> Company </w:t>
      </w:r>
      <w:proofErr w:type="spellStart"/>
      <w:r w:rsidRPr="009739BF">
        <w:rPr>
          <w:rFonts w:cstheme="minorHAnsi"/>
          <w:sz w:val="20"/>
          <w:szCs w:val="20"/>
          <w:lang w:val="et-EE"/>
        </w:rPr>
        <w:t>Benchmark</w:t>
      </w:r>
      <w:proofErr w:type="spellEnd"/>
      <w:r w:rsidRPr="009739BF">
        <w:rPr>
          <w:rFonts w:cstheme="minorHAnsi"/>
          <w:sz w:val="20"/>
          <w:szCs w:val="20"/>
          <w:lang w:val="et-EE"/>
        </w:rPr>
        <w:t>. Kasutatud kliimastsenaariumid on 2017. aastal avaldatud „</w:t>
      </w:r>
      <w:proofErr w:type="spellStart"/>
      <w:r w:rsidRPr="009739BF">
        <w:rPr>
          <w:rFonts w:cstheme="minorHAnsi"/>
          <w:sz w:val="20"/>
          <w:szCs w:val="20"/>
          <w:lang w:val="et-EE"/>
        </w:rPr>
        <w:t>Beyond</w:t>
      </w:r>
      <w:proofErr w:type="spellEnd"/>
      <w:r w:rsidRPr="009739BF">
        <w:rPr>
          <w:rFonts w:cstheme="minorHAnsi"/>
          <w:sz w:val="20"/>
          <w:szCs w:val="20"/>
          <w:lang w:val="et-EE"/>
        </w:rPr>
        <w:t xml:space="preserve"> 2 </w:t>
      </w:r>
      <w:proofErr w:type="spellStart"/>
      <w:r w:rsidRPr="009739BF">
        <w:rPr>
          <w:rFonts w:cstheme="minorHAnsi"/>
          <w:sz w:val="20"/>
          <w:szCs w:val="20"/>
          <w:lang w:val="et-EE"/>
        </w:rPr>
        <w:t>Degrees</w:t>
      </w:r>
      <w:proofErr w:type="spellEnd"/>
      <w:r w:rsidRPr="009739BF">
        <w:rPr>
          <w:rFonts w:cstheme="minorHAnsi"/>
          <w:sz w:val="20"/>
          <w:szCs w:val="20"/>
          <w:lang w:val="et-EE"/>
        </w:rPr>
        <w:t xml:space="preserve"> </w:t>
      </w:r>
      <w:proofErr w:type="spellStart"/>
      <w:r w:rsidRPr="009739BF">
        <w:rPr>
          <w:rFonts w:cstheme="minorHAnsi"/>
          <w:sz w:val="20"/>
          <w:szCs w:val="20"/>
          <w:lang w:val="et-EE"/>
        </w:rPr>
        <w:t>Scenario</w:t>
      </w:r>
      <w:proofErr w:type="spellEnd"/>
      <w:r w:rsidRPr="009739BF">
        <w:rPr>
          <w:rFonts w:cstheme="minorHAnsi"/>
          <w:sz w:val="20"/>
          <w:szCs w:val="20"/>
          <w:lang w:val="et-EE"/>
        </w:rPr>
        <w:t xml:space="preserve">“ (B2D2) ja Rahvusvahelise Energiaagentuuri „Net </w:t>
      </w:r>
      <w:proofErr w:type="spellStart"/>
      <w:r w:rsidRPr="009739BF">
        <w:rPr>
          <w:rFonts w:cstheme="minorHAnsi"/>
          <w:sz w:val="20"/>
          <w:szCs w:val="20"/>
          <w:lang w:val="et-EE"/>
        </w:rPr>
        <w:t>Zero</w:t>
      </w:r>
      <w:proofErr w:type="spellEnd"/>
      <w:r w:rsidRPr="009739BF">
        <w:rPr>
          <w:rFonts w:cstheme="minorHAnsi"/>
          <w:sz w:val="20"/>
          <w:szCs w:val="20"/>
          <w:lang w:val="et-EE"/>
        </w:rPr>
        <w:t xml:space="preserve"> by 2050 </w:t>
      </w:r>
      <w:proofErr w:type="spellStart"/>
      <w:r w:rsidRPr="009739BF">
        <w:rPr>
          <w:rFonts w:cstheme="minorHAnsi"/>
          <w:sz w:val="20"/>
          <w:szCs w:val="20"/>
          <w:lang w:val="et-EE"/>
        </w:rPr>
        <w:t>Scenario</w:t>
      </w:r>
      <w:proofErr w:type="spellEnd"/>
      <w:r w:rsidRPr="009739BF">
        <w:rPr>
          <w:rFonts w:cstheme="minorHAnsi"/>
          <w:sz w:val="20"/>
          <w:szCs w:val="20"/>
          <w:lang w:val="et-EE"/>
        </w:rPr>
        <w:t>“ (avaldatud 2021).</w:t>
      </w:r>
    </w:p>
    <w:p w14:paraId="11434A2A" w14:textId="77777777" w:rsidR="00AE4A1C" w:rsidRPr="009739BF" w:rsidRDefault="00AE4A1C" w:rsidP="00AE4A1C">
      <w:pPr>
        <w:spacing w:after="120"/>
        <w:jc w:val="both"/>
        <w:rPr>
          <w:rFonts w:cstheme="minorHAnsi"/>
          <w:sz w:val="20"/>
          <w:szCs w:val="20"/>
          <w:lang w:val="et-EE"/>
        </w:rPr>
      </w:pPr>
    </w:p>
    <w:sectPr w:rsidR="00AE4A1C" w:rsidRPr="009739BF" w:rsidSect="00ED120B">
      <w:headerReference w:type="default" r:id="rId17"/>
      <w:footerReference w:type="default" r:id="rId18"/>
      <w:pgSz w:w="11907" w:h="16839" w:code="9"/>
      <w:pgMar w:top="1134" w:right="992"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B3B6" w14:textId="77777777" w:rsidR="00197E1C" w:rsidRDefault="00197E1C" w:rsidP="00473545">
      <w:r>
        <w:separator/>
      </w:r>
    </w:p>
  </w:endnote>
  <w:endnote w:type="continuationSeparator" w:id="0">
    <w:p w14:paraId="6B8D5D12" w14:textId="77777777" w:rsidR="00197E1C" w:rsidRDefault="00197E1C" w:rsidP="0047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FS Me">
    <w:altName w:val="Calibri"/>
    <w:panose1 w:val="00000000000000000000"/>
    <w:charset w:val="00"/>
    <w:family w:val="modern"/>
    <w:notTrueType/>
    <w:pitch w:val="variable"/>
    <w:sig w:usb0="800000AF" w:usb1="4000204A"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52406" w14:textId="4BC8E4B0" w:rsidR="00473545" w:rsidRPr="001164C0" w:rsidRDefault="00040C23">
    <w:pPr>
      <w:pStyle w:val="Footer"/>
      <w:rPr>
        <w:rFonts w:ascii="FS Me" w:hAnsi="FS Me"/>
        <w:color w:val="8F8983" w:themeColor="accent2"/>
        <w:sz w:val="18"/>
        <w:szCs w:val="18"/>
      </w:rPr>
    </w:pPr>
    <w:r>
      <w:rPr>
        <w:rFonts w:ascii="FS Me" w:hAnsi="FS Me"/>
        <w:color w:val="8F8983" w:themeColor="accent2"/>
        <w:sz w:val="18"/>
        <w:szCs w:val="18"/>
        <w:lang w:val="et"/>
      </w:rPr>
      <w:tab/>
    </w:r>
    <w:r>
      <w:rPr>
        <w:rFonts w:ascii="FS Me" w:hAnsi="FS Me"/>
        <w:color w:val="8F8983" w:themeColor="accent2"/>
        <w:sz w:val="18"/>
        <w:szCs w:val="18"/>
        <w:lang w:val="e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6DED1" w14:textId="2B34B153" w:rsidR="008E540C" w:rsidRPr="001164C0" w:rsidRDefault="008E540C">
    <w:pPr>
      <w:pStyle w:val="Footer"/>
      <w:rPr>
        <w:rFonts w:ascii="FS Me" w:hAnsi="FS Me"/>
        <w:color w:val="8F8983" w:themeColor="accent2"/>
        <w:sz w:val="18"/>
        <w:szCs w:val="18"/>
      </w:rPr>
    </w:pPr>
    <w:r>
      <w:rPr>
        <w:rFonts w:ascii="FS Me" w:hAnsi="FS Me"/>
        <w:color w:val="8F8983" w:themeColor="accent2"/>
        <w:sz w:val="18"/>
        <w:szCs w:val="18"/>
        <w:lang w:val="et"/>
      </w:rPr>
      <w:tab/>
    </w:r>
    <w:r>
      <w:rPr>
        <w:rFonts w:ascii="FS Me" w:hAnsi="FS Me"/>
        <w:color w:val="8F8983" w:themeColor="accent2"/>
        <w:sz w:val="18"/>
        <w:szCs w:val="18"/>
        <w:lang w:val="et"/>
      </w:rPr>
      <w:tab/>
    </w:r>
    <w:r>
      <w:rPr>
        <w:rFonts w:ascii="FS Me" w:hAnsi="FS Me"/>
        <w:color w:val="8F8983" w:themeColor="accent2"/>
        <w:sz w:val="18"/>
        <w:szCs w:val="18"/>
        <w:lang w:val="et"/>
      </w:rPr>
      <w:tab/>
    </w:r>
    <w:r>
      <w:rPr>
        <w:rFonts w:ascii="FS Me" w:hAnsi="FS Me"/>
        <w:color w:val="8F8983" w:themeColor="accent2"/>
        <w:sz w:val="18"/>
        <w:szCs w:val="18"/>
        <w:lang w:val="et"/>
      </w:rPr>
      <w:tab/>
    </w:r>
    <w:r>
      <w:rPr>
        <w:rFonts w:ascii="FS Me" w:hAnsi="FS Me"/>
        <w:color w:val="8F8983" w:themeColor="accent2"/>
        <w:sz w:val="18"/>
        <w:szCs w:val="18"/>
        <w:lang w:val="et"/>
      </w:rPr>
      <w:tab/>
    </w:r>
    <w:r>
      <w:rPr>
        <w:rFonts w:ascii="FS Me" w:hAnsi="FS Me"/>
        <w:color w:val="8F8983" w:themeColor="accent2"/>
        <w:sz w:val="18"/>
        <w:szCs w:val="18"/>
        <w:lang w:val="et"/>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45F7" w14:textId="701AA22E" w:rsidR="008E540C" w:rsidRPr="001164C0" w:rsidRDefault="008E540C">
    <w:pPr>
      <w:pStyle w:val="Footer"/>
      <w:rPr>
        <w:rFonts w:ascii="FS Me" w:hAnsi="FS Me"/>
        <w:color w:val="8F8983" w:themeColor="accent2"/>
        <w:sz w:val="18"/>
        <w:szCs w:val="18"/>
      </w:rPr>
    </w:pPr>
    <w:r>
      <w:rPr>
        <w:rFonts w:ascii="FS Me" w:hAnsi="FS Me"/>
        <w:color w:val="8F8983" w:themeColor="accent2"/>
        <w:sz w:val="18"/>
        <w:szCs w:val="18"/>
        <w:lang w:val="et"/>
      </w:rPr>
      <w:tab/>
    </w:r>
    <w:r>
      <w:rPr>
        <w:rFonts w:ascii="FS Me" w:hAnsi="FS Me"/>
        <w:color w:val="8F8983" w:themeColor="accent2"/>
        <w:sz w:val="18"/>
        <w:szCs w:val="18"/>
        <w:lang w:val="e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EDF23" w14:textId="77777777" w:rsidR="00197E1C" w:rsidRDefault="00197E1C" w:rsidP="00473545">
      <w:r>
        <w:separator/>
      </w:r>
    </w:p>
  </w:footnote>
  <w:footnote w:type="continuationSeparator" w:id="0">
    <w:p w14:paraId="4747BDBA" w14:textId="77777777" w:rsidR="00197E1C" w:rsidRDefault="00197E1C" w:rsidP="00473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9C5B" w14:textId="77777777" w:rsidR="00473545" w:rsidRDefault="00473545">
    <w:pPr>
      <w:pStyle w:val="Header"/>
    </w:pPr>
  </w:p>
  <w:p w14:paraId="5E921710" w14:textId="77777777" w:rsidR="00473545" w:rsidRDefault="00473545">
    <w:pPr>
      <w:pStyle w:val="Header"/>
    </w:pPr>
  </w:p>
  <w:p w14:paraId="258BB002" w14:textId="77777777" w:rsidR="00473545" w:rsidRDefault="00473545">
    <w:pPr>
      <w:pStyle w:val="Header"/>
    </w:pPr>
  </w:p>
  <w:p w14:paraId="7AEC057B" w14:textId="77777777" w:rsidR="00473545" w:rsidRDefault="00473545">
    <w:pPr>
      <w:pStyle w:val="Header"/>
    </w:pPr>
  </w:p>
  <w:p w14:paraId="4B9B27D5" w14:textId="77777777" w:rsidR="00473545" w:rsidRDefault="00473545">
    <w:pPr>
      <w:pStyle w:val="Header"/>
    </w:pPr>
  </w:p>
  <w:p w14:paraId="1A5402CE" w14:textId="77777777" w:rsidR="00473545" w:rsidRPr="00473545" w:rsidRDefault="00473545" w:rsidP="00473545">
    <w:pPr>
      <w:pStyle w:val="Header"/>
      <w:tabs>
        <w:tab w:val="left" w:pos="7371"/>
      </w:tabs>
      <w:jc w:val="right"/>
      <w:rPr>
        <w:rFonts w:ascii="FS Me" w:hAnsi="FS Me"/>
        <w:sz w:val="22"/>
      </w:rPr>
    </w:pPr>
    <w:r>
      <w:rPr>
        <w:rFonts w:ascii="FS Me" w:hAnsi="FS Me"/>
        <w:sz w:val="22"/>
        <w:lang w:val="et"/>
      </w:rPr>
      <w:t>Munich Re äriühing</w:t>
    </w:r>
  </w:p>
  <w:p w14:paraId="23FC45F2" w14:textId="77777777" w:rsidR="00473545" w:rsidRDefault="00473545">
    <w:pPr>
      <w:pStyle w:val="Header"/>
    </w:pPr>
  </w:p>
  <w:p w14:paraId="201415BB" w14:textId="77777777" w:rsidR="00473545" w:rsidRDefault="00473545">
    <w:pPr>
      <w:pStyle w:val="Header"/>
    </w:pPr>
    <w:r>
      <w:rPr>
        <w:noProof/>
        <w:lang w:val="et"/>
      </w:rPr>
      <w:drawing>
        <wp:anchor distT="0" distB="0" distL="114300" distR="114300" simplePos="0" relativeHeight="251659264" behindDoc="0" locked="1" layoutInCell="1" allowOverlap="1" wp14:anchorId="02DEFCD5" wp14:editId="25308C22">
          <wp:simplePos x="0" y="0"/>
          <wp:positionH relativeFrom="page">
            <wp:posOffset>5506720</wp:posOffset>
          </wp:positionH>
          <wp:positionV relativeFrom="paragraph">
            <wp:posOffset>-802005</wp:posOffset>
          </wp:positionV>
          <wp:extent cx="1202646" cy="540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rgo_Wortmarke_Rot_RGB.svg"/>
                  <pic:cNvPicPr/>
                </pic:nvPicPr>
                <pic:blipFill>
                  <a:blip r:embed="rId1">
                    <a:extLst>
                      <a:ext uri="{96DAC541-7B7A-43D3-8B79-37D633B846F1}">
                        <asvg:svgBlip xmlns:asvg="http://schemas.microsoft.com/office/drawing/2016/SVG/main" r:embed="rId2"/>
                      </a:ext>
                    </a:extLst>
                  </a:blip>
                  <a:stretch>
                    <a:fillRect/>
                  </a:stretch>
                </pic:blipFill>
                <pic:spPr>
                  <a:xfrm>
                    <a:off x="0" y="0"/>
                    <a:ext cx="1202646"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5F60" w14:textId="77777777" w:rsidR="008E540C" w:rsidRDefault="008E540C">
    <w:pPr>
      <w:pStyle w:val="Header"/>
    </w:pPr>
  </w:p>
  <w:p w14:paraId="747CD5E4" w14:textId="77777777" w:rsidR="008E540C" w:rsidRDefault="008E540C">
    <w:pPr>
      <w:pStyle w:val="Header"/>
    </w:pPr>
  </w:p>
  <w:p w14:paraId="74267ADE" w14:textId="77777777" w:rsidR="008E540C" w:rsidRDefault="008E540C">
    <w:pPr>
      <w:pStyle w:val="Header"/>
    </w:pPr>
  </w:p>
  <w:p w14:paraId="03449E59" w14:textId="77777777" w:rsidR="008E540C" w:rsidRDefault="008E540C">
    <w:pPr>
      <w:pStyle w:val="Header"/>
    </w:pPr>
  </w:p>
  <w:p w14:paraId="7A7B6E02" w14:textId="77777777" w:rsidR="008E540C" w:rsidRDefault="008E540C">
    <w:pPr>
      <w:pStyle w:val="Header"/>
    </w:pPr>
  </w:p>
  <w:p w14:paraId="6C382CFA" w14:textId="77777777" w:rsidR="008E540C" w:rsidRPr="00473545" w:rsidRDefault="008E540C" w:rsidP="00473545">
    <w:pPr>
      <w:pStyle w:val="Header"/>
      <w:tabs>
        <w:tab w:val="left" w:pos="7371"/>
      </w:tabs>
      <w:jc w:val="right"/>
      <w:rPr>
        <w:rFonts w:ascii="FS Me" w:hAnsi="FS Me"/>
        <w:sz w:val="22"/>
      </w:rPr>
    </w:pPr>
    <w:r>
      <w:rPr>
        <w:rFonts w:ascii="FS Me" w:hAnsi="FS Me"/>
        <w:sz w:val="22"/>
        <w:lang w:val="et"/>
      </w:rPr>
      <w:t>Munich Re äriühing</w:t>
    </w:r>
  </w:p>
  <w:p w14:paraId="4222531A" w14:textId="77777777" w:rsidR="008E540C" w:rsidRDefault="008E540C">
    <w:pPr>
      <w:pStyle w:val="Header"/>
    </w:pPr>
  </w:p>
  <w:p w14:paraId="39DAF605" w14:textId="77777777" w:rsidR="008E540C" w:rsidRDefault="008E540C">
    <w:pPr>
      <w:pStyle w:val="Header"/>
    </w:pPr>
    <w:r>
      <w:rPr>
        <w:noProof/>
        <w:lang w:val="et"/>
      </w:rPr>
      <w:drawing>
        <wp:anchor distT="0" distB="0" distL="114300" distR="114300" simplePos="0" relativeHeight="251657216" behindDoc="0" locked="1" layoutInCell="1" allowOverlap="1" wp14:anchorId="201CF509" wp14:editId="70C65B2F">
          <wp:simplePos x="0" y="0"/>
          <wp:positionH relativeFrom="page">
            <wp:posOffset>8536305</wp:posOffset>
          </wp:positionH>
          <wp:positionV relativeFrom="paragraph">
            <wp:posOffset>-755650</wp:posOffset>
          </wp:positionV>
          <wp:extent cx="1202690" cy="53975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rgo_Wortmarke_Rot_RGB.svg"/>
                  <pic:cNvPicPr/>
                </pic:nvPicPr>
                <pic:blipFill>
                  <a:blip r:embed="rId1">
                    <a:extLst>
                      <a:ext uri="{96DAC541-7B7A-43D3-8B79-37D633B846F1}">
                        <asvg:svgBlip xmlns:asvg="http://schemas.microsoft.com/office/drawing/2016/SVG/main" r:embed="rId2"/>
                      </a:ext>
                    </a:extLst>
                  </a:blip>
                  <a:stretch>
                    <a:fillRect/>
                  </a:stretch>
                </pic:blipFill>
                <pic:spPr>
                  <a:xfrm>
                    <a:off x="0" y="0"/>
                    <a:ext cx="1202690" cy="539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937F8" w14:textId="77777777" w:rsidR="008E540C" w:rsidRDefault="008E540C">
    <w:pPr>
      <w:pStyle w:val="Header"/>
    </w:pPr>
  </w:p>
  <w:p w14:paraId="37E4DA5E" w14:textId="77777777" w:rsidR="008E540C" w:rsidRDefault="008E540C">
    <w:pPr>
      <w:pStyle w:val="Header"/>
    </w:pPr>
  </w:p>
  <w:p w14:paraId="619A279B" w14:textId="77777777" w:rsidR="008E540C" w:rsidRDefault="008E540C">
    <w:pPr>
      <w:pStyle w:val="Header"/>
    </w:pPr>
  </w:p>
  <w:p w14:paraId="71EE4EE1" w14:textId="77777777" w:rsidR="008E540C" w:rsidRDefault="008E540C">
    <w:pPr>
      <w:pStyle w:val="Header"/>
    </w:pPr>
  </w:p>
  <w:p w14:paraId="5E550B51" w14:textId="77777777" w:rsidR="008E540C" w:rsidRDefault="008E540C">
    <w:pPr>
      <w:pStyle w:val="Header"/>
    </w:pPr>
  </w:p>
  <w:p w14:paraId="7FA00CBF" w14:textId="77777777" w:rsidR="008E540C" w:rsidRPr="00473545" w:rsidRDefault="008E540C" w:rsidP="00473545">
    <w:pPr>
      <w:pStyle w:val="Header"/>
      <w:tabs>
        <w:tab w:val="left" w:pos="7371"/>
      </w:tabs>
      <w:jc w:val="right"/>
      <w:rPr>
        <w:rFonts w:ascii="FS Me" w:hAnsi="FS Me"/>
        <w:sz w:val="22"/>
      </w:rPr>
    </w:pPr>
    <w:r>
      <w:rPr>
        <w:rFonts w:ascii="FS Me" w:hAnsi="FS Me"/>
        <w:sz w:val="22"/>
        <w:lang w:val="et"/>
      </w:rPr>
      <w:t>Munich Re äriühing</w:t>
    </w:r>
  </w:p>
  <w:p w14:paraId="3A15F1ED" w14:textId="77777777" w:rsidR="008E540C" w:rsidRDefault="008E540C">
    <w:pPr>
      <w:pStyle w:val="Header"/>
    </w:pPr>
  </w:p>
  <w:p w14:paraId="76EED25B" w14:textId="77777777" w:rsidR="008E540C" w:rsidRDefault="008E540C">
    <w:pPr>
      <w:pStyle w:val="Header"/>
    </w:pPr>
    <w:r>
      <w:rPr>
        <w:noProof/>
        <w:lang w:val="et"/>
      </w:rPr>
      <w:drawing>
        <wp:anchor distT="0" distB="0" distL="114300" distR="114300" simplePos="0" relativeHeight="251663360" behindDoc="0" locked="1" layoutInCell="1" allowOverlap="1" wp14:anchorId="4308F547" wp14:editId="35810D0A">
          <wp:simplePos x="0" y="0"/>
          <wp:positionH relativeFrom="page">
            <wp:posOffset>5531485</wp:posOffset>
          </wp:positionH>
          <wp:positionV relativeFrom="paragraph">
            <wp:posOffset>-755650</wp:posOffset>
          </wp:positionV>
          <wp:extent cx="1202690" cy="53975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rgo_Wortmarke_Rot_RGB.svg"/>
                  <pic:cNvPicPr/>
                </pic:nvPicPr>
                <pic:blipFill>
                  <a:blip r:embed="rId1">
                    <a:extLst>
                      <a:ext uri="{96DAC541-7B7A-43D3-8B79-37D633B846F1}">
                        <asvg:svgBlip xmlns:asvg="http://schemas.microsoft.com/office/drawing/2016/SVG/main" r:embed="rId2"/>
                      </a:ext>
                    </a:extLst>
                  </a:blip>
                  <a:stretch>
                    <a:fillRect/>
                  </a:stretch>
                </pic:blipFill>
                <pic:spPr>
                  <a:xfrm>
                    <a:off x="0" y="0"/>
                    <a:ext cx="1202690" cy="539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8F6"/>
    <w:multiLevelType w:val="hybridMultilevel"/>
    <w:tmpl w:val="DFFAF6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152D64"/>
    <w:multiLevelType w:val="hybridMultilevel"/>
    <w:tmpl w:val="30384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77540F"/>
    <w:multiLevelType w:val="hybridMultilevel"/>
    <w:tmpl w:val="ADF8AEE6"/>
    <w:lvl w:ilvl="0" w:tplc="04070001">
      <w:start w:val="1"/>
      <w:numFmt w:val="bullet"/>
      <w:lvlText w:val=""/>
      <w:lvlJc w:val="left"/>
      <w:pPr>
        <w:ind w:left="360" w:hanging="360"/>
      </w:pPr>
      <w:rPr>
        <w:rFonts w:ascii="Symbol" w:hAnsi="Symbol" w:hint="default"/>
      </w:rPr>
    </w:lvl>
    <w:lvl w:ilvl="1" w:tplc="59F813A0">
      <w:numFmt w:val="bullet"/>
      <w:lvlText w:val="-"/>
      <w:lvlJc w:val="left"/>
      <w:pPr>
        <w:ind w:left="108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482775B"/>
    <w:multiLevelType w:val="multilevel"/>
    <w:tmpl w:val="086456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C13B96"/>
    <w:multiLevelType w:val="hybridMultilevel"/>
    <w:tmpl w:val="3454F354"/>
    <w:lvl w:ilvl="0" w:tplc="629EA4D0">
      <w:numFmt w:val="bullet"/>
      <w:lvlText w:val="•"/>
      <w:lvlJc w:val="left"/>
      <w:pPr>
        <w:ind w:left="1080" w:hanging="720"/>
      </w:pPr>
      <w:rPr>
        <w:rFonts w:ascii="FS Me" w:eastAsiaTheme="minorHAnsi" w:hAnsi="FS Me"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A00F11"/>
    <w:multiLevelType w:val="hybridMultilevel"/>
    <w:tmpl w:val="5FEA1758"/>
    <w:lvl w:ilvl="0" w:tplc="415A6B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8001AC"/>
    <w:multiLevelType w:val="hybridMultilevel"/>
    <w:tmpl w:val="A5146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282A12"/>
    <w:multiLevelType w:val="hybridMultilevel"/>
    <w:tmpl w:val="83FA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4C384E"/>
    <w:multiLevelType w:val="hybridMultilevel"/>
    <w:tmpl w:val="8F2024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F363E39"/>
    <w:multiLevelType w:val="hybridMultilevel"/>
    <w:tmpl w:val="9DEE35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1E93A26"/>
    <w:multiLevelType w:val="hybridMultilevel"/>
    <w:tmpl w:val="FCC47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59135F"/>
    <w:multiLevelType w:val="hybridMultilevel"/>
    <w:tmpl w:val="FC2822F6"/>
    <w:lvl w:ilvl="0" w:tplc="EA16E72A">
      <w:start w:val="4"/>
      <w:numFmt w:val="bullet"/>
      <w:lvlText w:val=""/>
      <w:lvlJc w:val="left"/>
      <w:pPr>
        <w:ind w:left="720" w:hanging="360"/>
      </w:pPr>
      <w:rPr>
        <w:rFonts w:ascii="Wingdings" w:eastAsiaTheme="minorHAnsi" w:hAnsi="Wingdings" w:cstheme="minorBidi"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D64011"/>
    <w:multiLevelType w:val="hybridMultilevel"/>
    <w:tmpl w:val="FB4C3206"/>
    <w:lvl w:ilvl="0" w:tplc="EDC2E0D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600731"/>
    <w:multiLevelType w:val="hybridMultilevel"/>
    <w:tmpl w:val="D4C29F02"/>
    <w:lvl w:ilvl="0" w:tplc="FFFFFFFF">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5464A6C"/>
    <w:multiLevelType w:val="hybridMultilevel"/>
    <w:tmpl w:val="3DCE691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E304F7"/>
    <w:multiLevelType w:val="hybridMultilevel"/>
    <w:tmpl w:val="59F6C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8998501">
    <w:abstractNumId w:val="3"/>
  </w:num>
  <w:num w:numId="2" w16cid:durableId="1283074093">
    <w:abstractNumId w:val="3"/>
  </w:num>
  <w:num w:numId="3" w16cid:durableId="1543060217">
    <w:abstractNumId w:val="3"/>
  </w:num>
  <w:num w:numId="4" w16cid:durableId="1081220022">
    <w:abstractNumId w:val="3"/>
  </w:num>
  <w:num w:numId="5" w16cid:durableId="656736463">
    <w:abstractNumId w:val="3"/>
  </w:num>
  <w:num w:numId="6" w16cid:durableId="326443828">
    <w:abstractNumId w:val="3"/>
  </w:num>
  <w:num w:numId="7" w16cid:durableId="1316178480">
    <w:abstractNumId w:val="3"/>
  </w:num>
  <w:num w:numId="8" w16cid:durableId="2033533099">
    <w:abstractNumId w:val="3"/>
  </w:num>
  <w:num w:numId="9" w16cid:durableId="1679766899">
    <w:abstractNumId w:val="3"/>
  </w:num>
  <w:num w:numId="10" w16cid:durableId="1802726689">
    <w:abstractNumId w:val="3"/>
  </w:num>
  <w:num w:numId="11" w16cid:durableId="2129666775">
    <w:abstractNumId w:val="15"/>
  </w:num>
  <w:num w:numId="12" w16cid:durableId="829561829">
    <w:abstractNumId w:val="4"/>
  </w:num>
  <w:num w:numId="13" w16cid:durableId="635182469">
    <w:abstractNumId w:val="6"/>
  </w:num>
  <w:num w:numId="14" w16cid:durableId="134564663">
    <w:abstractNumId w:val="10"/>
  </w:num>
  <w:num w:numId="15" w16cid:durableId="348919858">
    <w:abstractNumId w:val="1"/>
  </w:num>
  <w:num w:numId="16" w16cid:durableId="426312789">
    <w:abstractNumId w:val="11"/>
  </w:num>
  <w:num w:numId="17" w16cid:durableId="249973231">
    <w:abstractNumId w:val="7"/>
  </w:num>
  <w:num w:numId="18" w16cid:durableId="1346051297">
    <w:abstractNumId w:val="5"/>
  </w:num>
  <w:num w:numId="19" w16cid:durableId="1749233123">
    <w:abstractNumId w:val="14"/>
  </w:num>
  <w:num w:numId="20" w16cid:durableId="1984698659">
    <w:abstractNumId w:val="2"/>
  </w:num>
  <w:num w:numId="21" w16cid:durableId="1589387418">
    <w:abstractNumId w:val="12"/>
  </w:num>
  <w:num w:numId="22" w16cid:durableId="382482540">
    <w:abstractNumId w:val="9"/>
  </w:num>
  <w:num w:numId="23" w16cid:durableId="741637910">
    <w:abstractNumId w:val="8"/>
  </w:num>
  <w:num w:numId="24" w16cid:durableId="1438914280">
    <w:abstractNumId w:val="0"/>
  </w:num>
  <w:num w:numId="25" w16cid:durableId="1534979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45"/>
    <w:rsid w:val="00011C46"/>
    <w:rsid w:val="000200A0"/>
    <w:rsid w:val="00033F22"/>
    <w:rsid w:val="0003438B"/>
    <w:rsid w:val="00040C23"/>
    <w:rsid w:val="000503DA"/>
    <w:rsid w:val="0005719B"/>
    <w:rsid w:val="00063DC4"/>
    <w:rsid w:val="0006427C"/>
    <w:rsid w:val="00091E1D"/>
    <w:rsid w:val="000977F0"/>
    <w:rsid w:val="000A1BEE"/>
    <w:rsid w:val="000A1E9F"/>
    <w:rsid w:val="000A2948"/>
    <w:rsid w:val="000A48EF"/>
    <w:rsid w:val="000A562D"/>
    <w:rsid w:val="000B2F94"/>
    <w:rsid w:val="000B31E7"/>
    <w:rsid w:val="000C71AA"/>
    <w:rsid w:val="000E4969"/>
    <w:rsid w:val="000F714F"/>
    <w:rsid w:val="00105B4E"/>
    <w:rsid w:val="001164C0"/>
    <w:rsid w:val="00117034"/>
    <w:rsid w:val="001216F4"/>
    <w:rsid w:val="00125439"/>
    <w:rsid w:val="00136C06"/>
    <w:rsid w:val="00147241"/>
    <w:rsid w:val="00165B2B"/>
    <w:rsid w:val="00181737"/>
    <w:rsid w:val="00183F84"/>
    <w:rsid w:val="00187579"/>
    <w:rsid w:val="00187DC7"/>
    <w:rsid w:val="00192124"/>
    <w:rsid w:val="00197E1C"/>
    <w:rsid w:val="001A0E32"/>
    <w:rsid w:val="001A290A"/>
    <w:rsid w:val="001C51E4"/>
    <w:rsid w:val="001D1E11"/>
    <w:rsid w:val="001E4A58"/>
    <w:rsid w:val="001E4DF7"/>
    <w:rsid w:val="002119AF"/>
    <w:rsid w:val="00212DC0"/>
    <w:rsid w:val="00252982"/>
    <w:rsid w:val="00261199"/>
    <w:rsid w:val="002635D0"/>
    <w:rsid w:val="00274F03"/>
    <w:rsid w:val="00275CDB"/>
    <w:rsid w:val="002768C8"/>
    <w:rsid w:val="00282394"/>
    <w:rsid w:val="00293ABA"/>
    <w:rsid w:val="002946DB"/>
    <w:rsid w:val="00295C7B"/>
    <w:rsid w:val="0029661E"/>
    <w:rsid w:val="00297F38"/>
    <w:rsid w:val="002D6352"/>
    <w:rsid w:val="00300368"/>
    <w:rsid w:val="003144ED"/>
    <w:rsid w:val="0031597F"/>
    <w:rsid w:val="00317784"/>
    <w:rsid w:val="00343DED"/>
    <w:rsid w:val="0035238F"/>
    <w:rsid w:val="00354BEF"/>
    <w:rsid w:val="00363FA9"/>
    <w:rsid w:val="0039194A"/>
    <w:rsid w:val="00396403"/>
    <w:rsid w:val="003A0895"/>
    <w:rsid w:val="003C243D"/>
    <w:rsid w:val="003E3590"/>
    <w:rsid w:val="003E5FBE"/>
    <w:rsid w:val="003F1676"/>
    <w:rsid w:val="00403B63"/>
    <w:rsid w:val="00411C9B"/>
    <w:rsid w:val="004140B2"/>
    <w:rsid w:val="00424F95"/>
    <w:rsid w:val="004302B5"/>
    <w:rsid w:val="00430B1B"/>
    <w:rsid w:val="004361A9"/>
    <w:rsid w:val="0044576C"/>
    <w:rsid w:val="00453C68"/>
    <w:rsid w:val="00455410"/>
    <w:rsid w:val="00464301"/>
    <w:rsid w:val="00470ACC"/>
    <w:rsid w:val="00473545"/>
    <w:rsid w:val="00483438"/>
    <w:rsid w:val="004903B0"/>
    <w:rsid w:val="0049542E"/>
    <w:rsid w:val="004A1333"/>
    <w:rsid w:val="004B0F7F"/>
    <w:rsid w:val="004B4270"/>
    <w:rsid w:val="004C3CFD"/>
    <w:rsid w:val="004E4E50"/>
    <w:rsid w:val="004F645A"/>
    <w:rsid w:val="00503DC9"/>
    <w:rsid w:val="00506F87"/>
    <w:rsid w:val="00507662"/>
    <w:rsid w:val="00516A19"/>
    <w:rsid w:val="0051727E"/>
    <w:rsid w:val="00517A25"/>
    <w:rsid w:val="00524E2C"/>
    <w:rsid w:val="00545514"/>
    <w:rsid w:val="00560905"/>
    <w:rsid w:val="0058316F"/>
    <w:rsid w:val="0058518F"/>
    <w:rsid w:val="0058526C"/>
    <w:rsid w:val="00586401"/>
    <w:rsid w:val="005B4E80"/>
    <w:rsid w:val="005C1843"/>
    <w:rsid w:val="005D4282"/>
    <w:rsid w:val="005E2A88"/>
    <w:rsid w:val="005F04DD"/>
    <w:rsid w:val="00614961"/>
    <w:rsid w:val="006612A6"/>
    <w:rsid w:val="00663171"/>
    <w:rsid w:val="0067209E"/>
    <w:rsid w:val="006827C1"/>
    <w:rsid w:val="00682B14"/>
    <w:rsid w:val="00685B2E"/>
    <w:rsid w:val="00694E9A"/>
    <w:rsid w:val="006952E2"/>
    <w:rsid w:val="00695880"/>
    <w:rsid w:val="006B191E"/>
    <w:rsid w:val="006B63AF"/>
    <w:rsid w:val="006E0663"/>
    <w:rsid w:val="006E3E4F"/>
    <w:rsid w:val="00701722"/>
    <w:rsid w:val="00705488"/>
    <w:rsid w:val="007137B3"/>
    <w:rsid w:val="00713A60"/>
    <w:rsid w:val="00715F5E"/>
    <w:rsid w:val="00717C1B"/>
    <w:rsid w:val="00717CB3"/>
    <w:rsid w:val="00717D22"/>
    <w:rsid w:val="0072156D"/>
    <w:rsid w:val="00723CD2"/>
    <w:rsid w:val="007525BD"/>
    <w:rsid w:val="0076534F"/>
    <w:rsid w:val="00773CE1"/>
    <w:rsid w:val="0077608B"/>
    <w:rsid w:val="00790332"/>
    <w:rsid w:val="007B2CEC"/>
    <w:rsid w:val="007B5581"/>
    <w:rsid w:val="007B565B"/>
    <w:rsid w:val="007B6090"/>
    <w:rsid w:val="007D7D12"/>
    <w:rsid w:val="007E0CBF"/>
    <w:rsid w:val="007E20F8"/>
    <w:rsid w:val="007E4857"/>
    <w:rsid w:val="007E6A18"/>
    <w:rsid w:val="007F5FE2"/>
    <w:rsid w:val="007F7693"/>
    <w:rsid w:val="008138C8"/>
    <w:rsid w:val="008166EE"/>
    <w:rsid w:val="00831FDF"/>
    <w:rsid w:val="00841ADA"/>
    <w:rsid w:val="00842D8C"/>
    <w:rsid w:val="00843AAF"/>
    <w:rsid w:val="00855C14"/>
    <w:rsid w:val="00874653"/>
    <w:rsid w:val="00881E9C"/>
    <w:rsid w:val="00886280"/>
    <w:rsid w:val="008877B2"/>
    <w:rsid w:val="00897646"/>
    <w:rsid w:val="008B36C3"/>
    <w:rsid w:val="008B419B"/>
    <w:rsid w:val="008B7C56"/>
    <w:rsid w:val="008D28F9"/>
    <w:rsid w:val="008D2D68"/>
    <w:rsid w:val="008E1188"/>
    <w:rsid w:val="008E4E0D"/>
    <w:rsid w:val="008E540C"/>
    <w:rsid w:val="00912CB2"/>
    <w:rsid w:val="00921C29"/>
    <w:rsid w:val="00944237"/>
    <w:rsid w:val="0094451F"/>
    <w:rsid w:val="00956184"/>
    <w:rsid w:val="00957664"/>
    <w:rsid w:val="00961950"/>
    <w:rsid w:val="00964D88"/>
    <w:rsid w:val="00972A91"/>
    <w:rsid w:val="009739BF"/>
    <w:rsid w:val="00993B71"/>
    <w:rsid w:val="00993DAC"/>
    <w:rsid w:val="009B6EA0"/>
    <w:rsid w:val="009D094B"/>
    <w:rsid w:val="009D2184"/>
    <w:rsid w:val="009D2746"/>
    <w:rsid w:val="009D3217"/>
    <w:rsid w:val="009D4096"/>
    <w:rsid w:val="009D7BFC"/>
    <w:rsid w:val="009E3802"/>
    <w:rsid w:val="00A020B8"/>
    <w:rsid w:val="00A10A0D"/>
    <w:rsid w:val="00A23F82"/>
    <w:rsid w:val="00A32D3F"/>
    <w:rsid w:val="00A35215"/>
    <w:rsid w:val="00A41141"/>
    <w:rsid w:val="00A51679"/>
    <w:rsid w:val="00A55B40"/>
    <w:rsid w:val="00A6137F"/>
    <w:rsid w:val="00A7506B"/>
    <w:rsid w:val="00A93597"/>
    <w:rsid w:val="00AC3BAE"/>
    <w:rsid w:val="00AD2A03"/>
    <w:rsid w:val="00AD5AEA"/>
    <w:rsid w:val="00AE4A1C"/>
    <w:rsid w:val="00AF094A"/>
    <w:rsid w:val="00AF5006"/>
    <w:rsid w:val="00B012A6"/>
    <w:rsid w:val="00B03E96"/>
    <w:rsid w:val="00B114F1"/>
    <w:rsid w:val="00B2739D"/>
    <w:rsid w:val="00B277C3"/>
    <w:rsid w:val="00B27C13"/>
    <w:rsid w:val="00B37045"/>
    <w:rsid w:val="00B371D5"/>
    <w:rsid w:val="00B463F0"/>
    <w:rsid w:val="00B50BB6"/>
    <w:rsid w:val="00B64B2C"/>
    <w:rsid w:val="00B66955"/>
    <w:rsid w:val="00B726B5"/>
    <w:rsid w:val="00B911BF"/>
    <w:rsid w:val="00BB25DA"/>
    <w:rsid w:val="00BD318E"/>
    <w:rsid w:val="00BE072E"/>
    <w:rsid w:val="00BE3AAD"/>
    <w:rsid w:val="00BE5828"/>
    <w:rsid w:val="00BF1F12"/>
    <w:rsid w:val="00BF2969"/>
    <w:rsid w:val="00BF7DDE"/>
    <w:rsid w:val="00C0297D"/>
    <w:rsid w:val="00C056ED"/>
    <w:rsid w:val="00C068EF"/>
    <w:rsid w:val="00C314BE"/>
    <w:rsid w:val="00C33A8A"/>
    <w:rsid w:val="00C344F1"/>
    <w:rsid w:val="00C40969"/>
    <w:rsid w:val="00C42B7D"/>
    <w:rsid w:val="00C4478C"/>
    <w:rsid w:val="00C4571E"/>
    <w:rsid w:val="00C4703E"/>
    <w:rsid w:val="00C564E3"/>
    <w:rsid w:val="00C64186"/>
    <w:rsid w:val="00C65019"/>
    <w:rsid w:val="00C65C7A"/>
    <w:rsid w:val="00C725DE"/>
    <w:rsid w:val="00C929A8"/>
    <w:rsid w:val="00C936CB"/>
    <w:rsid w:val="00C979C5"/>
    <w:rsid w:val="00CA642D"/>
    <w:rsid w:val="00CB28C4"/>
    <w:rsid w:val="00CB31C9"/>
    <w:rsid w:val="00CB588E"/>
    <w:rsid w:val="00CD7627"/>
    <w:rsid w:val="00CD7B30"/>
    <w:rsid w:val="00D12B32"/>
    <w:rsid w:val="00D12CCE"/>
    <w:rsid w:val="00D2169B"/>
    <w:rsid w:val="00D21B94"/>
    <w:rsid w:val="00D45EE8"/>
    <w:rsid w:val="00D4731D"/>
    <w:rsid w:val="00D552DA"/>
    <w:rsid w:val="00D55D6D"/>
    <w:rsid w:val="00D57CBD"/>
    <w:rsid w:val="00D63D96"/>
    <w:rsid w:val="00D64208"/>
    <w:rsid w:val="00D740A6"/>
    <w:rsid w:val="00D97F45"/>
    <w:rsid w:val="00DB1A6E"/>
    <w:rsid w:val="00DC4872"/>
    <w:rsid w:val="00DD31AF"/>
    <w:rsid w:val="00DE1FAB"/>
    <w:rsid w:val="00DF235F"/>
    <w:rsid w:val="00E02A29"/>
    <w:rsid w:val="00E15A5E"/>
    <w:rsid w:val="00E33531"/>
    <w:rsid w:val="00E448A2"/>
    <w:rsid w:val="00E47CC9"/>
    <w:rsid w:val="00E620C5"/>
    <w:rsid w:val="00E73537"/>
    <w:rsid w:val="00E96E22"/>
    <w:rsid w:val="00EB0D09"/>
    <w:rsid w:val="00ED120B"/>
    <w:rsid w:val="00EE05C7"/>
    <w:rsid w:val="00EE7EBB"/>
    <w:rsid w:val="00EF353A"/>
    <w:rsid w:val="00F04482"/>
    <w:rsid w:val="00F0692C"/>
    <w:rsid w:val="00F10BC2"/>
    <w:rsid w:val="00F4562B"/>
    <w:rsid w:val="00F503E9"/>
    <w:rsid w:val="00F67EA3"/>
    <w:rsid w:val="00F938D7"/>
    <w:rsid w:val="00FB634E"/>
    <w:rsid w:val="00FD16E1"/>
    <w:rsid w:val="00FD7C0A"/>
    <w:rsid w:val="00FE06BC"/>
    <w:rsid w:val="00FF6B21"/>
    <w:rsid w:val="00FF74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61AD"/>
  <w15:docId w15:val="{FD763B73-111F-4F3B-A226-5E4670E6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24"/>
  </w:style>
  <w:style w:type="paragraph" w:styleId="Heading1">
    <w:name w:val="heading 1"/>
    <w:basedOn w:val="Normal"/>
    <w:next w:val="Normal"/>
    <w:link w:val="Heading1Char"/>
    <w:uiPriority w:val="9"/>
    <w:qFormat/>
    <w:rsid w:val="00C314BE"/>
    <w:pPr>
      <w:keepNext/>
      <w:keepLines/>
      <w:pBdr>
        <w:bottom w:val="single" w:sz="4" w:space="1" w:color="892737" w:themeColor="accent1"/>
      </w:pBdr>
      <w:spacing w:before="400" w:after="40"/>
      <w:outlineLvl w:val="0"/>
    </w:pPr>
    <w:rPr>
      <w:rFonts w:asciiTheme="majorHAnsi" w:eastAsiaTheme="majorEastAsia" w:hAnsiTheme="majorHAnsi" w:cstheme="majorBidi"/>
      <w:color w:val="661D29" w:themeColor="accent1" w:themeShade="BF"/>
      <w:sz w:val="36"/>
      <w:szCs w:val="36"/>
    </w:rPr>
  </w:style>
  <w:style w:type="paragraph" w:styleId="Heading2">
    <w:name w:val="heading 2"/>
    <w:basedOn w:val="Normal"/>
    <w:next w:val="Normal"/>
    <w:link w:val="Heading2Char"/>
    <w:uiPriority w:val="9"/>
    <w:unhideWhenUsed/>
    <w:qFormat/>
    <w:rsid w:val="00C314BE"/>
    <w:pPr>
      <w:keepNext/>
      <w:keepLines/>
      <w:spacing w:before="160"/>
      <w:outlineLvl w:val="1"/>
    </w:pPr>
    <w:rPr>
      <w:rFonts w:asciiTheme="majorHAnsi" w:eastAsiaTheme="majorEastAsia" w:hAnsiTheme="majorHAnsi" w:cstheme="majorBidi"/>
      <w:color w:val="661D29" w:themeColor="accent1" w:themeShade="BF"/>
      <w:sz w:val="28"/>
      <w:szCs w:val="28"/>
    </w:rPr>
  </w:style>
  <w:style w:type="paragraph" w:styleId="Heading3">
    <w:name w:val="heading 3"/>
    <w:basedOn w:val="Normal"/>
    <w:next w:val="Normal"/>
    <w:link w:val="Heading3Char"/>
    <w:uiPriority w:val="9"/>
    <w:unhideWhenUsed/>
    <w:qFormat/>
    <w:rsid w:val="00C314BE"/>
    <w:pPr>
      <w:keepNext/>
      <w:keepLines/>
      <w:spacing w:before="80"/>
      <w:outlineLvl w:val="2"/>
    </w:pPr>
    <w:rPr>
      <w:rFonts w:asciiTheme="majorHAnsi" w:eastAsiaTheme="majorEastAsia" w:hAnsiTheme="majorHAnsi" w:cstheme="majorBidi"/>
      <w:color w:val="6F6F6F" w:themeColor="text1" w:themeTint="BF"/>
      <w:sz w:val="26"/>
      <w:szCs w:val="26"/>
    </w:rPr>
  </w:style>
  <w:style w:type="paragraph" w:styleId="Heading4">
    <w:name w:val="heading 4"/>
    <w:basedOn w:val="Normal"/>
    <w:next w:val="Normal"/>
    <w:link w:val="Heading4Char"/>
    <w:uiPriority w:val="9"/>
    <w:unhideWhenUsed/>
    <w:qFormat/>
    <w:rsid w:val="00C314BE"/>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C314BE"/>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C314BE"/>
    <w:pPr>
      <w:keepNext/>
      <w:keepLines/>
      <w:spacing w:before="80"/>
      <w:outlineLvl w:val="5"/>
    </w:pPr>
    <w:rPr>
      <w:rFonts w:asciiTheme="majorHAnsi" w:eastAsiaTheme="majorEastAsia" w:hAnsiTheme="majorHAnsi" w:cstheme="majorBidi"/>
      <w:color w:val="828282" w:themeColor="text1" w:themeTint="A6"/>
    </w:rPr>
  </w:style>
  <w:style w:type="paragraph" w:styleId="Heading7">
    <w:name w:val="heading 7"/>
    <w:basedOn w:val="Normal"/>
    <w:next w:val="Normal"/>
    <w:link w:val="Heading7Char"/>
    <w:uiPriority w:val="9"/>
    <w:semiHidden/>
    <w:unhideWhenUsed/>
    <w:qFormat/>
    <w:rsid w:val="00C314BE"/>
    <w:pPr>
      <w:keepNext/>
      <w:keepLines/>
      <w:spacing w:before="80"/>
      <w:outlineLvl w:val="6"/>
    </w:pPr>
    <w:rPr>
      <w:rFonts w:asciiTheme="majorHAnsi" w:eastAsiaTheme="majorEastAsia" w:hAnsiTheme="majorHAnsi" w:cstheme="majorBidi"/>
      <w:i/>
      <w:iCs/>
      <w:color w:val="828282" w:themeColor="text1" w:themeTint="A6"/>
    </w:rPr>
  </w:style>
  <w:style w:type="paragraph" w:styleId="Heading8">
    <w:name w:val="heading 8"/>
    <w:basedOn w:val="Normal"/>
    <w:next w:val="Normal"/>
    <w:link w:val="Heading8Char"/>
    <w:uiPriority w:val="9"/>
    <w:semiHidden/>
    <w:unhideWhenUsed/>
    <w:qFormat/>
    <w:rsid w:val="00C314BE"/>
    <w:pPr>
      <w:keepNext/>
      <w:keepLines/>
      <w:spacing w:before="80"/>
      <w:outlineLvl w:val="7"/>
    </w:pPr>
    <w:rPr>
      <w:rFonts w:asciiTheme="majorHAnsi" w:eastAsiaTheme="majorEastAsia" w:hAnsiTheme="majorHAnsi" w:cstheme="majorBidi"/>
      <w:smallCaps/>
      <w:color w:val="828282" w:themeColor="text1" w:themeTint="A6"/>
    </w:rPr>
  </w:style>
  <w:style w:type="paragraph" w:styleId="Heading9">
    <w:name w:val="heading 9"/>
    <w:basedOn w:val="Normal"/>
    <w:next w:val="Normal"/>
    <w:link w:val="Heading9Char"/>
    <w:uiPriority w:val="9"/>
    <w:semiHidden/>
    <w:unhideWhenUsed/>
    <w:qFormat/>
    <w:rsid w:val="00C314BE"/>
    <w:pPr>
      <w:keepNext/>
      <w:keepLines/>
      <w:spacing w:before="80"/>
      <w:outlineLvl w:val="8"/>
    </w:pPr>
    <w:rPr>
      <w:rFonts w:asciiTheme="majorHAnsi" w:eastAsiaTheme="majorEastAsia" w:hAnsiTheme="majorHAnsi" w:cstheme="majorBidi"/>
      <w:i/>
      <w:iCs/>
      <w:smallCaps/>
      <w:color w:val="828282"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4BE"/>
    <w:rPr>
      <w:rFonts w:asciiTheme="majorHAnsi" w:eastAsiaTheme="majorEastAsia" w:hAnsiTheme="majorHAnsi" w:cstheme="majorBidi"/>
      <w:color w:val="661D29" w:themeColor="accent1" w:themeShade="BF"/>
      <w:sz w:val="36"/>
      <w:szCs w:val="36"/>
    </w:rPr>
  </w:style>
  <w:style w:type="character" w:customStyle="1" w:styleId="Heading2Char">
    <w:name w:val="Heading 2 Char"/>
    <w:basedOn w:val="DefaultParagraphFont"/>
    <w:link w:val="Heading2"/>
    <w:uiPriority w:val="9"/>
    <w:rsid w:val="00C314BE"/>
    <w:rPr>
      <w:rFonts w:asciiTheme="majorHAnsi" w:eastAsiaTheme="majorEastAsia" w:hAnsiTheme="majorHAnsi" w:cstheme="majorBidi"/>
      <w:color w:val="661D29" w:themeColor="accent1" w:themeShade="BF"/>
      <w:sz w:val="28"/>
      <w:szCs w:val="28"/>
    </w:rPr>
  </w:style>
  <w:style w:type="character" w:customStyle="1" w:styleId="Heading3Char">
    <w:name w:val="Heading 3 Char"/>
    <w:basedOn w:val="DefaultParagraphFont"/>
    <w:link w:val="Heading3"/>
    <w:uiPriority w:val="9"/>
    <w:rsid w:val="00C314BE"/>
    <w:rPr>
      <w:rFonts w:asciiTheme="majorHAnsi" w:eastAsiaTheme="majorEastAsia" w:hAnsiTheme="majorHAnsi" w:cstheme="majorBidi"/>
      <w:color w:val="6F6F6F" w:themeColor="text1" w:themeTint="BF"/>
      <w:sz w:val="26"/>
      <w:szCs w:val="26"/>
    </w:rPr>
  </w:style>
  <w:style w:type="character" w:customStyle="1" w:styleId="Heading4Char">
    <w:name w:val="Heading 4 Char"/>
    <w:basedOn w:val="DefaultParagraphFont"/>
    <w:link w:val="Heading4"/>
    <w:uiPriority w:val="9"/>
    <w:rsid w:val="00C314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C314BE"/>
    <w:rPr>
      <w:rFonts w:asciiTheme="majorHAnsi" w:eastAsiaTheme="majorEastAsia" w:hAnsiTheme="majorHAnsi" w:cstheme="majorBidi"/>
      <w:i/>
      <w:iCs/>
      <w:sz w:val="22"/>
      <w:szCs w:val="22"/>
    </w:rPr>
  </w:style>
  <w:style w:type="paragraph" w:styleId="Title">
    <w:name w:val="Title"/>
    <w:basedOn w:val="Normal"/>
    <w:next w:val="Normal"/>
    <w:link w:val="TitleChar"/>
    <w:uiPriority w:val="10"/>
    <w:qFormat/>
    <w:rsid w:val="00C314BE"/>
    <w:pPr>
      <w:contextualSpacing/>
    </w:pPr>
    <w:rPr>
      <w:rFonts w:asciiTheme="majorHAnsi" w:eastAsiaTheme="majorEastAsia" w:hAnsiTheme="majorHAnsi" w:cstheme="majorBidi"/>
      <w:color w:val="661D29" w:themeColor="accent1" w:themeShade="BF"/>
      <w:spacing w:val="-7"/>
      <w:sz w:val="80"/>
      <w:szCs w:val="80"/>
    </w:rPr>
  </w:style>
  <w:style w:type="character" w:customStyle="1" w:styleId="TitleChar">
    <w:name w:val="Title Char"/>
    <w:basedOn w:val="DefaultParagraphFont"/>
    <w:link w:val="Title"/>
    <w:uiPriority w:val="10"/>
    <w:rsid w:val="00C314BE"/>
    <w:rPr>
      <w:rFonts w:asciiTheme="majorHAnsi" w:eastAsiaTheme="majorEastAsia" w:hAnsiTheme="majorHAnsi" w:cstheme="majorBidi"/>
      <w:color w:val="661D29" w:themeColor="accent1" w:themeShade="BF"/>
      <w:spacing w:val="-7"/>
      <w:sz w:val="80"/>
      <w:szCs w:val="80"/>
    </w:rPr>
  </w:style>
  <w:style w:type="paragraph" w:styleId="Subtitle">
    <w:name w:val="Subtitle"/>
    <w:basedOn w:val="Normal"/>
    <w:next w:val="Normal"/>
    <w:link w:val="SubtitleChar"/>
    <w:uiPriority w:val="11"/>
    <w:qFormat/>
    <w:rsid w:val="00C314BE"/>
    <w:pPr>
      <w:numPr>
        <w:ilvl w:val="1"/>
      </w:numPr>
      <w:spacing w:after="240"/>
    </w:pPr>
    <w:rPr>
      <w:rFonts w:asciiTheme="majorHAnsi" w:eastAsiaTheme="majorEastAsia" w:hAnsiTheme="majorHAnsi" w:cstheme="majorBidi"/>
      <w:color w:val="6F6F6F" w:themeColor="text1" w:themeTint="BF"/>
      <w:sz w:val="30"/>
      <w:szCs w:val="30"/>
    </w:rPr>
  </w:style>
  <w:style w:type="character" w:customStyle="1" w:styleId="SubtitleChar">
    <w:name w:val="Subtitle Char"/>
    <w:basedOn w:val="DefaultParagraphFont"/>
    <w:link w:val="Subtitle"/>
    <w:uiPriority w:val="11"/>
    <w:rsid w:val="00C314BE"/>
    <w:rPr>
      <w:rFonts w:asciiTheme="majorHAnsi" w:eastAsiaTheme="majorEastAsia" w:hAnsiTheme="majorHAnsi" w:cstheme="majorBidi"/>
      <w:color w:val="6F6F6F" w:themeColor="text1" w:themeTint="BF"/>
      <w:sz w:val="30"/>
      <w:szCs w:val="30"/>
    </w:rPr>
  </w:style>
  <w:style w:type="character" w:styleId="SubtleEmphasis">
    <w:name w:val="Subtle Emphasis"/>
    <w:basedOn w:val="DefaultParagraphFont"/>
    <w:uiPriority w:val="19"/>
    <w:qFormat/>
    <w:rsid w:val="00C314BE"/>
    <w:rPr>
      <w:i/>
      <w:iCs/>
      <w:color w:val="828282" w:themeColor="text1" w:themeTint="A6"/>
    </w:rPr>
  </w:style>
  <w:style w:type="character" w:styleId="IntenseEmphasis">
    <w:name w:val="Intense Emphasis"/>
    <w:basedOn w:val="DefaultParagraphFont"/>
    <w:uiPriority w:val="21"/>
    <w:qFormat/>
    <w:rsid w:val="00C314BE"/>
    <w:rPr>
      <w:b/>
      <w:bCs/>
      <w:i/>
      <w:iCs/>
    </w:rPr>
  </w:style>
  <w:style w:type="character" w:styleId="Strong">
    <w:name w:val="Strong"/>
    <w:basedOn w:val="DefaultParagraphFont"/>
    <w:uiPriority w:val="22"/>
    <w:qFormat/>
    <w:rsid w:val="00C314BE"/>
    <w:rPr>
      <w:b/>
      <w:bCs/>
    </w:rPr>
  </w:style>
  <w:style w:type="character" w:styleId="SubtleReference">
    <w:name w:val="Subtle Reference"/>
    <w:basedOn w:val="DefaultParagraphFont"/>
    <w:uiPriority w:val="31"/>
    <w:qFormat/>
    <w:rsid w:val="00C314BE"/>
    <w:rPr>
      <w:smallCaps/>
      <w:color w:val="6F6F6F" w:themeColor="text1" w:themeTint="BF"/>
    </w:rPr>
  </w:style>
  <w:style w:type="character" w:styleId="IntenseReference">
    <w:name w:val="Intense Reference"/>
    <w:basedOn w:val="DefaultParagraphFont"/>
    <w:uiPriority w:val="32"/>
    <w:qFormat/>
    <w:rsid w:val="00C314BE"/>
    <w:rPr>
      <w:b/>
      <w:bCs/>
      <w:smallCaps/>
      <w:u w:val="single"/>
    </w:rPr>
  </w:style>
  <w:style w:type="character" w:styleId="BookTitle">
    <w:name w:val="Book Title"/>
    <w:basedOn w:val="DefaultParagraphFont"/>
    <w:uiPriority w:val="33"/>
    <w:qFormat/>
    <w:rsid w:val="00C314BE"/>
    <w:rPr>
      <w:b/>
      <w:bCs/>
      <w:smallCaps/>
    </w:rPr>
  </w:style>
  <w:style w:type="table" w:styleId="TableGrid">
    <w:name w:val="Table Grid"/>
    <w:basedOn w:val="TableNormal"/>
    <w:uiPriority w:val="39"/>
    <w:rsid w:val="00816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8166EE"/>
    <w:tblPr>
      <w:tblStyleRowBandSize w:val="1"/>
      <w:tblStyleColBandSize w:val="1"/>
      <w:tblBorders>
        <w:top w:val="single" w:sz="2" w:space="0" w:color="BBB8B4" w:themeColor="accent4" w:themeTint="99"/>
        <w:bottom w:val="single" w:sz="2" w:space="0" w:color="BBB8B4" w:themeColor="accent4" w:themeTint="99"/>
        <w:insideH w:val="single" w:sz="2" w:space="0" w:color="BBB8B4" w:themeColor="accent4" w:themeTint="99"/>
        <w:insideV w:val="single" w:sz="2" w:space="0" w:color="BBB8B4" w:themeColor="accent4" w:themeTint="99"/>
      </w:tblBorders>
    </w:tblPr>
    <w:tblStylePr w:type="firstRow">
      <w:rPr>
        <w:b/>
        <w:bCs/>
      </w:rPr>
      <w:tblPr/>
      <w:tcPr>
        <w:tcBorders>
          <w:top w:val="nil"/>
          <w:bottom w:val="single" w:sz="12" w:space="0" w:color="BBB8B4" w:themeColor="accent4" w:themeTint="99"/>
          <w:insideH w:val="nil"/>
          <w:insideV w:val="nil"/>
        </w:tcBorders>
        <w:shd w:val="clear" w:color="auto" w:fill="FFFFFF" w:themeFill="background1"/>
      </w:tcPr>
    </w:tblStylePr>
    <w:tblStylePr w:type="lastRow">
      <w:rPr>
        <w:b/>
        <w:bCs/>
      </w:rPr>
      <w:tblPr/>
      <w:tcPr>
        <w:tcBorders>
          <w:top w:val="double" w:sz="2" w:space="0" w:color="BBB8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6" w:themeFill="accent4" w:themeFillTint="33"/>
      </w:tcPr>
    </w:tblStylePr>
    <w:tblStylePr w:type="band1Horz">
      <w:tblPr/>
      <w:tcPr>
        <w:shd w:val="clear" w:color="auto" w:fill="E8E7E6" w:themeFill="accent4" w:themeFillTint="33"/>
      </w:tcPr>
    </w:tblStylePr>
  </w:style>
  <w:style w:type="character" w:styleId="Emphasis">
    <w:name w:val="Emphasis"/>
    <w:basedOn w:val="DefaultParagraphFont"/>
    <w:uiPriority w:val="20"/>
    <w:qFormat/>
    <w:rsid w:val="00C314BE"/>
    <w:rPr>
      <w:i/>
      <w:iCs/>
    </w:rPr>
  </w:style>
  <w:style w:type="paragraph" w:styleId="Quote">
    <w:name w:val="Quote"/>
    <w:basedOn w:val="Normal"/>
    <w:next w:val="Normal"/>
    <w:link w:val="QuoteChar"/>
    <w:uiPriority w:val="29"/>
    <w:qFormat/>
    <w:rsid w:val="00C314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314BE"/>
    <w:rPr>
      <w:i/>
      <w:iCs/>
    </w:rPr>
  </w:style>
  <w:style w:type="paragraph" w:styleId="IntenseQuote">
    <w:name w:val="Intense Quote"/>
    <w:basedOn w:val="Normal"/>
    <w:next w:val="Normal"/>
    <w:link w:val="IntenseQuoteChar"/>
    <w:uiPriority w:val="30"/>
    <w:qFormat/>
    <w:rsid w:val="00C314BE"/>
    <w:pPr>
      <w:spacing w:before="100" w:beforeAutospacing="1" w:after="240"/>
      <w:ind w:left="864" w:right="864"/>
      <w:jc w:val="center"/>
    </w:pPr>
    <w:rPr>
      <w:rFonts w:asciiTheme="majorHAnsi" w:eastAsiaTheme="majorEastAsia" w:hAnsiTheme="majorHAnsi" w:cstheme="majorBidi"/>
      <w:color w:val="892737" w:themeColor="accent1"/>
      <w:sz w:val="28"/>
      <w:szCs w:val="28"/>
    </w:rPr>
  </w:style>
  <w:style w:type="character" w:customStyle="1" w:styleId="IntenseQuoteChar">
    <w:name w:val="Intense Quote Char"/>
    <w:basedOn w:val="DefaultParagraphFont"/>
    <w:link w:val="IntenseQuote"/>
    <w:uiPriority w:val="30"/>
    <w:rsid w:val="00C314BE"/>
    <w:rPr>
      <w:rFonts w:asciiTheme="majorHAnsi" w:eastAsiaTheme="majorEastAsia" w:hAnsiTheme="majorHAnsi" w:cstheme="majorBidi"/>
      <w:color w:val="892737" w:themeColor="accent1"/>
      <w:sz w:val="28"/>
      <w:szCs w:val="28"/>
    </w:rPr>
  </w:style>
  <w:style w:type="character" w:customStyle="1" w:styleId="Heading6Char">
    <w:name w:val="Heading 6 Char"/>
    <w:basedOn w:val="DefaultParagraphFont"/>
    <w:link w:val="Heading6"/>
    <w:uiPriority w:val="9"/>
    <w:rsid w:val="00C314BE"/>
    <w:rPr>
      <w:rFonts w:asciiTheme="majorHAnsi" w:eastAsiaTheme="majorEastAsia" w:hAnsiTheme="majorHAnsi" w:cstheme="majorBidi"/>
      <w:color w:val="828282" w:themeColor="text1" w:themeTint="A6"/>
    </w:rPr>
  </w:style>
  <w:style w:type="character" w:customStyle="1" w:styleId="Heading7Char">
    <w:name w:val="Heading 7 Char"/>
    <w:basedOn w:val="DefaultParagraphFont"/>
    <w:link w:val="Heading7"/>
    <w:uiPriority w:val="9"/>
    <w:semiHidden/>
    <w:rsid w:val="00C314BE"/>
    <w:rPr>
      <w:rFonts w:asciiTheme="majorHAnsi" w:eastAsiaTheme="majorEastAsia" w:hAnsiTheme="majorHAnsi" w:cstheme="majorBidi"/>
      <w:i/>
      <w:iCs/>
      <w:color w:val="828282" w:themeColor="text1" w:themeTint="A6"/>
    </w:rPr>
  </w:style>
  <w:style w:type="character" w:customStyle="1" w:styleId="Heading8Char">
    <w:name w:val="Heading 8 Char"/>
    <w:basedOn w:val="DefaultParagraphFont"/>
    <w:link w:val="Heading8"/>
    <w:uiPriority w:val="9"/>
    <w:semiHidden/>
    <w:rsid w:val="00C314BE"/>
    <w:rPr>
      <w:rFonts w:asciiTheme="majorHAnsi" w:eastAsiaTheme="majorEastAsia" w:hAnsiTheme="majorHAnsi" w:cstheme="majorBidi"/>
      <w:smallCaps/>
      <w:color w:val="828282" w:themeColor="text1" w:themeTint="A6"/>
    </w:rPr>
  </w:style>
  <w:style w:type="character" w:customStyle="1" w:styleId="Heading9Char">
    <w:name w:val="Heading 9 Char"/>
    <w:basedOn w:val="DefaultParagraphFont"/>
    <w:link w:val="Heading9"/>
    <w:uiPriority w:val="9"/>
    <w:semiHidden/>
    <w:rsid w:val="00C314BE"/>
    <w:rPr>
      <w:rFonts w:asciiTheme="majorHAnsi" w:eastAsiaTheme="majorEastAsia" w:hAnsiTheme="majorHAnsi" w:cstheme="majorBidi"/>
      <w:i/>
      <w:iCs/>
      <w:smallCaps/>
      <w:color w:val="828282" w:themeColor="text1" w:themeTint="A6"/>
    </w:rPr>
  </w:style>
  <w:style w:type="paragraph" w:styleId="Caption">
    <w:name w:val="caption"/>
    <w:basedOn w:val="Normal"/>
    <w:next w:val="Normal"/>
    <w:uiPriority w:val="35"/>
    <w:semiHidden/>
    <w:unhideWhenUsed/>
    <w:qFormat/>
    <w:rsid w:val="00C314BE"/>
    <w:rPr>
      <w:b/>
      <w:bCs/>
      <w:color w:val="6F6F6F" w:themeColor="text1" w:themeTint="BF"/>
      <w:sz w:val="20"/>
      <w:szCs w:val="20"/>
    </w:rPr>
  </w:style>
  <w:style w:type="paragraph" w:styleId="NoSpacing">
    <w:name w:val="No Spacing"/>
    <w:uiPriority w:val="1"/>
    <w:qFormat/>
    <w:rsid w:val="00C314BE"/>
  </w:style>
  <w:style w:type="paragraph" w:styleId="TOCHeading">
    <w:name w:val="TOC Heading"/>
    <w:basedOn w:val="Heading1"/>
    <w:next w:val="Normal"/>
    <w:uiPriority w:val="39"/>
    <w:semiHidden/>
    <w:unhideWhenUsed/>
    <w:qFormat/>
    <w:rsid w:val="00C314BE"/>
    <w:pPr>
      <w:outlineLvl w:val="9"/>
    </w:pPr>
  </w:style>
  <w:style w:type="paragraph" w:styleId="Header">
    <w:name w:val="header"/>
    <w:basedOn w:val="Normal"/>
    <w:link w:val="HeaderChar"/>
    <w:uiPriority w:val="99"/>
    <w:unhideWhenUsed/>
    <w:rsid w:val="00473545"/>
    <w:pPr>
      <w:tabs>
        <w:tab w:val="center" w:pos="4536"/>
        <w:tab w:val="right" w:pos="9072"/>
      </w:tabs>
    </w:pPr>
  </w:style>
  <w:style w:type="character" w:customStyle="1" w:styleId="HeaderChar">
    <w:name w:val="Header Char"/>
    <w:basedOn w:val="DefaultParagraphFont"/>
    <w:link w:val="Header"/>
    <w:uiPriority w:val="99"/>
    <w:rsid w:val="00473545"/>
  </w:style>
  <w:style w:type="paragraph" w:styleId="Footer">
    <w:name w:val="footer"/>
    <w:basedOn w:val="Normal"/>
    <w:link w:val="FooterChar"/>
    <w:uiPriority w:val="99"/>
    <w:unhideWhenUsed/>
    <w:rsid w:val="00473545"/>
    <w:pPr>
      <w:tabs>
        <w:tab w:val="center" w:pos="4536"/>
        <w:tab w:val="right" w:pos="9072"/>
      </w:tabs>
    </w:pPr>
  </w:style>
  <w:style w:type="character" w:customStyle="1" w:styleId="FooterChar">
    <w:name w:val="Footer Char"/>
    <w:basedOn w:val="DefaultParagraphFont"/>
    <w:link w:val="Footer"/>
    <w:uiPriority w:val="99"/>
    <w:rsid w:val="00473545"/>
  </w:style>
  <w:style w:type="paragraph" w:styleId="BalloonText">
    <w:name w:val="Balloon Text"/>
    <w:basedOn w:val="Normal"/>
    <w:link w:val="BalloonTextChar"/>
    <w:uiPriority w:val="99"/>
    <w:semiHidden/>
    <w:unhideWhenUsed/>
    <w:rsid w:val="00473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545"/>
    <w:rPr>
      <w:rFonts w:ascii="Segoe UI" w:hAnsi="Segoe UI" w:cs="Segoe UI"/>
      <w:sz w:val="18"/>
      <w:szCs w:val="18"/>
    </w:rPr>
  </w:style>
  <w:style w:type="paragraph" w:customStyle="1" w:styleId="Default">
    <w:name w:val="Default"/>
    <w:rsid w:val="001164C0"/>
    <w:pPr>
      <w:autoSpaceDE w:val="0"/>
      <w:autoSpaceDN w:val="0"/>
      <w:adjustRightInd w:val="0"/>
    </w:pPr>
    <w:rPr>
      <w:rFonts w:ascii="Calibri" w:hAnsi="Calibri" w:cs="Calibri"/>
      <w:color w:val="000000"/>
      <w:sz w:val="24"/>
      <w:szCs w:val="24"/>
      <w:lang w:val="de-DE"/>
    </w:rPr>
  </w:style>
  <w:style w:type="paragraph" w:styleId="ListParagraph">
    <w:name w:val="List Paragraph"/>
    <w:basedOn w:val="Normal"/>
    <w:uiPriority w:val="34"/>
    <w:qFormat/>
    <w:rsid w:val="001164C0"/>
    <w:pPr>
      <w:ind w:left="720"/>
      <w:contextualSpacing/>
    </w:pPr>
  </w:style>
  <w:style w:type="character" w:styleId="Hyperlink">
    <w:name w:val="Hyperlink"/>
    <w:basedOn w:val="DefaultParagraphFont"/>
    <w:uiPriority w:val="82"/>
    <w:unhideWhenUsed/>
    <w:rsid w:val="001164C0"/>
    <w:rPr>
      <w:color w:val="892737" w:themeColor="hyperlink"/>
      <w:u w:val="single"/>
    </w:rPr>
  </w:style>
  <w:style w:type="paragraph" w:styleId="NormalWeb">
    <w:name w:val="Normal (Web)"/>
    <w:basedOn w:val="Normal"/>
    <w:uiPriority w:val="99"/>
    <w:unhideWhenUsed/>
    <w:rsid w:val="00192124"/>
    <w:pPr>
      <w:spacing w:before="100" w:beforeAutospacing="1" w:after="100" w:afterAutospacing="1"/>
    </w:pPr>
    <w:rPr>
      <w:rFonts w:ascii="Times New Roman" w:eastAsia="Times New Roman" w:hAnsi="Times New Roman" w:cs="Times New Roman"/>
      <w:sz w:val="24"/>
      <w:szCs w:val="24"/>
      <w:lang w:val="de-DE" w:eastAsia="de-DE"/>
    </w:rPr>
  </w:style>
  <w:style w:type="character" w:styleId="FollowedHyperlink">
    <w:name w:val="FollowedHyperlink"/>
    <w:basedOn w:val="DefaultParagraphFont"/>
    <w:uiPriority w:val="99"/>
    <w:semiHidden/>
    <w:unhideWhenUsed/>
    <w:rsid w:val="00CD7B30"/>
    <w:rPr>
      <w:color w:val="892737" w:themeColor="followedHyperlink"/>
      <w:u w:val="single"/>
    </w:rPr>
  </w:style>
  <w:style w:type="paragraph" w:styleId="FootnoteText">
    <w:name w:val="footnote text"/>
    <w:basedOn w:val="Normal"/>
    <w:link w:val="FootnoteTextChar"/>
    <w:uiPriority w:val="99"/>
    <w:semiHidden/>
    <w:unhideWhenUsed/>
    <w:rsid w:val="00BD318E"/>
    <w:rPr>
      <w:sz w:val="20"/>
      <w:szCs w:val="20"/>
    </w:rPr>
  </w:style>
  <w:style w:type="character" w:customStyle="1" w:styleId="FootnoteTextChar">
    <w:name w:val="Footnote Text Char"/>
    <w:basedOn w:val="DefaultParagraphFont"/>
    <w:link w:val="FootnoteText"/>
    <w:uiPriority w:val="99"/>
    <w:semiHidden/>
    <w:rsid w:val="00BD318E"/>
    <w:rPr>
      <w:sz w:val="20"/>
      <w:szCs w:val="20"/>
    </w:rPr>
  </w:style>
  <w:style w:type="character" w:styleId="FootnoteReference">
    <w:name w:val="footnote reference"/>
    <w:basedOn w:val="DefaultParagraphFont"/>
    <w:uiPriority w:val="99"/>
    <w:semiHidden/>
    <w:unhideWhenUsed/>
    <w:rsid w:val="00BD318E"/>
    <w:rPr>
      <w:vertAlign w:val="superscript"/>
    </w:rPr>
  </w:style>
  <w:style w:type="character" w:styleId="CommentReference">
    <w:name w:val="annotation reference"/>
    <w:basedOn w:val="DefaultParagraphFont"/>
    <w:uiPriority w:val="99"/>
    <w:semiHidden/>
    <w:unhideWhenUsed/>
    <w:rsid w:val="00717CB3"/>
    <w:rPr>
      <w:sz w:val="16"/>
      <w:szCs w:val="16"/>
    </w:rPr>
  </w:style>
  <w:style w:type="paragraph" w:styleId="CommentText">
    <w:name w:val="annotation text"/>
    <w:basedOn w:val="Normal"/>
    <w:link w:val="CommentTextChar"/>
    <w:uiPriority w:val="99"/>
    <w:unhideWhenUsed/>
    <w:rsid w:val="00717CB3"/>
    <w:rPr>
      <w:sz w:val="20"/>
      <w:szCs w:val="20"/>
    </w:rPr>
  </w:style>
  <w:style w:type="character" w:customStyle="1" w:styleId="CommentTextChar">
    <w:name w:val="Comment Text Char"/>
    <w:basedOn w:val="DefaultParagraphFont"/>
    <w:link w:val="CommentText"/>
    <w:uiPriority w:val="99"/>
    <w:rsid w:val="00717CB3"/>
    <w:rPr>
      <w:sz w:val="20"/>
      <w:szCs w:val="20"/>
    </w:rPr>
  </w:style>
  <w:style w:type="paragraph" w:styleId="CommentSubject">
    <w:name w:val="annotation subject"/>
    <w:basedOn w:val="CommentText"/>
    <w:next w:val="CommentText"/>
    <w:link w:val="CommentSubjectChar"/>
    <w:uiPriority w:val="99"/>
    <w:semiHidden/>
    <w:unhideWhenUsed/>
    <w:rsid w:val="00717CB3"/>
    <w:rPr>
      <w:b/>
      <w:bCs/>
    </w:rPr>
  </w:style>
  <w:style w:type="character" w:customStyle="1" w:styleId="CommentSubjectChar">
    <w:name w:val="Comment Subject Char"/>
    <w:basedOn w:val="CommentTextChar"/>
    <w:link w:val="CommentSubject"/>
    <w:uiPriority w:val="99"/>
    <w:semiHidden/>
    <w:rsid w:val="00717CB3"/>
    <w:rPr>
      <w:b/>
      <w:bCs/>
      <w:sz w:val="20"/>
      <w:szCs w:val="20"/>
    </w:rPr>
  </w:style>
  <w:style w:type="table" w:customStyle="1" w:styleId="Tabellenraster1">
    <w:name w:val="Tabellenraster1"/>
    <w:basedOn w:val="TableNormal"/>
    <w:next w:val="TableGrid"/>
    <w:uiPriority w:val="39"/>
    <w:rsid w:val="00842D8C"/>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5C1843"/>
    <w:rPr>
      <w:color w:val="605E5C"/>
      <w:shd w:val="clear" w:color="auto" w:fill="E1DFDD"/>
    </w:rPr>
  </w:style>
  <w:style w:type="paragraph" w:styleId="Revision">
    <w:name w:val="Revision"/>
    <w:hidden/>
    <w:uiPriority w:val="99"/>
    <w:semiHidden/>
    <w:rsid w:val="000977F0"/>
  </w:style>
  <w:style w:type="table" w:customStyle="1" w:styleId="TableGrid2">
    <w:name w:val="Table Grid2"/>
    <w:basedOn w:val="TableNormal"/>
    <w:uiPriority w:val="39"/>
    <w:rsid w:val="0058640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6303">
      <w:bodyDiv w:val="1"/>
      <w:marLeft w:val="0"/>
      <w:marRight w:val="0"/>
      <w:marTop w:val="0"/>
      <w:marBottom w:val="0"/>
      <w:divBdr>
        <w:top w:val="none" w:sz="0" w:space="0" w:color="auto"/>
        <w:left w:val="none" w:sz="0" w:space="0" w:color="auto"/>
        <w:bottom w:val="none" w:sz="0" w:space="0" w:color="auto"/>
        <w:right w:val="none" w:sz="0" w:space="0" w:color="auto"/>
      </w:divBdr>
    </w:div>
    <w:div w:id="259262597">
      <w:bodyDiv w:val="1"/>
      <w:marLeft w:val="0"/>
      <w:marRight w:val="0"/>
      <w:marTop w:val="0"/>
      <w:marBottom w:val="0"/>
      <w:divBdr>
        <w:top w:val="none" w:sz="0" w:space="0" w:color="auto"/>
        <w:left w:val="none" w:sz="0" w:space="0" w:color="auto"/>
        <w:bottom w:val="none" w:sz="0" w:space="0" w:color="auto"/>
        <w:right w:val="none" w:sz="0" w:space="0" w:color="auto"/>
      </w:divBdr>
    </w:div>
    <w:div w:id="376393572">
      <w:bodyDiv w:val="1"/>
      <w:marLeft w:val="0"/>
      <w:marRight w:val="0"/>
      <w:marTop w:val="0"/>
      <w:marBottom w:val="0"/>
      <w:divBdr>
        <w:top w:val="none" w:sz="0" w:space="0" w:color="auto"/>
        <w:left w:val="none" w:sz="0" w:space="0" w:color="auto"/>
        <w:bottom w:val="none" w:sz="0" w:space="0" w:color="auto"/>
        <w:right w:val="none" w:sz="0" w:space="0" w:color="auto"/>
      </w:divBdr>
    </w:div>
    <w:div w:id="384259697">
      <w:bodyDiv w:val="1"/>
      <w:marLeft w:val="0"/>
      <w:marRight w:val="0"/>
      <w:marTop w:val="0"/>
      <w:marBottom w:val="0"/>
      <w:divBdr>
        <w:top w:val="none" w:sz="0" w:space="0" w:color="auto"/>
        <w:left w:val="none" w:sz="0" w:space="0" w:color="auto"/>
        <w:bottom w:val="none" w:sz="0" w:space="0" w:color="auto"/>
        <w:right w:val="none" w:sz="0" w:space="0" w:color="auto"/>
      </w:divBdr>
    </w:div>
    <w:div w:id="564754409">
      <w:bodyDiv w:val="1"/>
      <w:marLeft w:val="0"/>
      <w:marRight w:val="0"/>
      <w:marTop w:val="0"/>
      <w:marBottom w:val="0"/>
      <w:divBdr>
        <w:top w:val="none" w:sz="0" w:space="0" w:color="auto"/>
        <w:left w:val="none" w:sz="0" w:space="0" w:color="auto"/>
        <w:bottom w:val="none" w:sz="0" w:space="0" w:color="auto"/>
        <w:right w:val="none" w:sz="0" w:space="0" w:color="auto"/>
      </w:divBdr>
    </w:div>
    <w:div w:id="988368587">
      <w:bodyDiv w:val="1"/>
      <w:marLeft w:val="0"/>
      <w:marRight w:val="0"/>
      <w:marTop w:val="0"/>
      <w:marBottom w:val="0"/>
      <w:divBdr>
        <w:top w:val="none" w:sz="0" w:space="0" w:color="auto"/>
        <w:left w:val="none" w:sz="0" w:space="0" w:color="auto"/>
        <w:bottom w:val="none" w:sz="0" w:space="0" w:color="auto"/>
        <w:right w:val="none" w:sz="0" w:space="0" w:color="auto"/>
      </w:divBdr>
    </w:div>
    <w:div w:id="1325352569">
      <w:bodyDiv w:val="1"/>
      <w:marLeft w:val="0"/>
      <w:marRight w:val="0"/>
      <w:marTop w:val="0"/>
      <w:marBottom w:val="0"/>
      <w:divBdr>
        <w:top w:val="none" w:sz="0" w:space="0" w:color="auto"/>
        <w:left w:val="none" w:sz="0" w:space="0" w:color="auto"/>
        <w:bottom w:val="none" w:sz="0" w:space="0" w:color="auto"/>
        <w:right w:val="none" w:sz="0" w:space="0" w:color="auto"/>
      </w:divBdr>
    </w:div>
    <w:div w:id="1428959922">
      <w:bodyDiv w:val="1"/>
      <w:marLeft w:val="0"/>
      <w:marRight w:val="0"/>
      <w:marTop w:val="0"/>
      <w:marBottom w:val="0"/>
      <w:divBdr>
        <w:top w:val="none" w:sz="0" w:space="0" w:color="auto"/>
        <w:left w:val="none" w:sz="0" w:space="0" w:color="auto"/>
        <w:bottom w:val="none" w:sz="0" w:space="0" w:color="auto"/>
        <w:right w:val="none" w:sz="0" w:space="0" w:color="auto"/>
      </w:divBdr>
    </w:div>
    <w:div w:id="1429810435">
      <w:bodyDiv w:val="1"/>
      <w:marLeft w:val="0"/>
      <w:marRight w:val="0"/>
      <w:marTop w:val="0"/>
      <w:marBottom w:val="0"/>
      <w:divBdr>
        <w:top w:val="none" w:sz="0" w:space="0" w:color="auto"/>
        <w:left w:val="none" w:sz="0" w:space="0" w:color="auto"/>
        <w:bottom w:val="none" w:sz="0" w:space="0" w:color="auto"/>
        <w:right w:val="none" w:sz="0" w:space="0" w:color="auto"/>
      </w:divBdr>
    </w:div>
    <w:div w:id="1451246543">
      <w:bodyDiv w:val="1"/>
      <w:marLeft w:val="0"/>
      <w:marRight w:val="0"/>
      <w:marTop w:val="0"/>
      <w:marBottom w:val="0"/>
      <w:divBdr>
        <w:top w:val="none" w:sz="0" w:space="0" w:color="auto"/>
        <w:left w:val="none" w:sz="0" w:space="0" w:color="auto"/>
        <w:bottom w:val="none" w:sz="0" w:space="0" w:color="auto"/>
        <w:right w:val="none" w:sz="0" w:space="0" w:color="auto"/>
      </w:divBdr>
      <w:divsChild>
        <w:div w:id="531267149">
          <w:marLeft w:val="446"/>
          <w:marRight w:val="0"/>
          <w:marTop w:val="240"/>
          <w:marBottom w:val="0"/>
          <w:divBdr>
            <w:top w:val="none" w:sz="0" w:space="0" w:color="auto"/>
            <w:left w:val="none" w:sz="0" w:space="0" w:color="auto"/>
            <w:bottom w:val="none" w:sz="0" w:space="0" w:color="auto"/>
            <w:right w:val="none" w:sz="0" w:space="0" w:color="auto"/>
          </w:divBdr>
        </w:div>
        <w:div w:id="919757856">
          <w:marLeft w:val="446"/>
          <w:marRight w:val="0"/>
          <w:marTop w:val="240"/>
          <w:marBottom w:val="0"/>
          <w:divBdr>
            <w:top w:val="none" w:sz="0" w:space="0" w:color="auto"/>
            <w:left w:val="none" w:sz="0" w:space="0" w:color="auto"/>
            <w:bottom w:val="none" w:sz="0" w:space="0" w:color="auto"/>
            <w:right w:val="none" w:sz="0" w:space="0" w:color="auto"/>
          </w:divBdr>
        </w:div>
        <w:div w:id="1095441436">
          <w:marLeft w:val="446"/>
          <w:marRight w:val="0"/>
          <w:marTop w:val="240"/>
          <w:marBottom w:val="0"/>
          <w:divBdr>
            <w:top w:val="none" w:sz="0" w:space="0" w:color="auto"/>
            <w:left w:val="none" w:sz="0" w:space="0" w:color="auto"/>
            <w:bottom w:val="none" w:sz="0" w:space="0" w:color="auto"/>
            <w:right w:val="none" w:sz="0" w:space="0" w:color="auto"/>
          </w:divBdr>
        </w:div>
        <w:div w:id="1890415561">
          <w:marLeft w:val="446"/>
          <w:marRight w:val="0"/>
          <w:marTop w:val="240"/>
          <w:marBottom w:val="0"/>
          <w:divBdr>
            <w:top w:val="none" w:sz="0" w:space="0" w:color="auto"/>
            <w:left w:val="none" w:sz="0" w:space="0" w:color="auto"/>
            <w:bottom w:val="none" w:sz="0" w:space="0" w:color="auto"/>
            <w:right w:val="none" w:sz="0" w:space="0" w:color="auto"/>
          </w:divBdr>
        </w:div>
        <w:div w:id="1920485050">
          <w:marLeft w:val="446"/>
          <w:marRight w:val="0"/>
          <w:marTop w:val="240"/>
          <w:marBottom w:val="0"/>
          <w:divBdr>
            <w:top w:val="none" w:sz="0" w:space="0" w:color="auto"/>
            <w:left w:val="none" w:sz="0" w:space="0" w:color="auto"/>
            <w:bottom w:val="none" w:sz="0" w:space="0" w:color="auto"/>
            <w:right w:val="none" w:sz="0" w:space="0" w:color="auto"/>
          </w:divBdr>
        </w:div>
        <w:div w:id="2134521965">
          <w:marLeft w:val="446"/>
          <w:marRight w:val="0"/>
          <w:marTop w:val="240"/>
          <w:marBottom w:val="0"/>
          <w:divBdr>
            <w:top w:val="none" w:sz="0" w:space="0" w:color="auto"/>
            <w:left w:val="none" w:sz="0" w:space="0" w:color="auto"/>
            <w:bottom w:val="none" w:sz="0" w:space="0" w:color="auto"/>
            <w:right w:val="none" w:sz="0" w:space="0" w:color="auto"/>
          </w:divBdr>
        </w:div>
      </w:divsChild>
    </w:div>
    <w:div w:id="1466116694">
      <w:bodyDiv w:val="1"/>
      <w:marLeft w:val="0"/>
      <w:marRight w:val="0"/>
      <w:marTop w:val="0"/>
      <w:marBottom w:val="0"/>
      <w:divBdr>
        <w:top w:val="none" w:sz="0" w:space="0" w:color="auto"/>
        <w:left w:val="none" w:sz="0" w:space="0" w:color="auto"/>
        <w:bottom w:val="none" w:sz="0" w:space="0" w:color="auto"/>
        <w:right w:val="none" w:sz="0" w:space="0" w:color="auto"/>
      </w:divBdr>
    </w:div>
    <w:div w:id="1638681831">
      <w:bodyDiv w:val="1"/>
      <w:marLeft w:val="0"/>
      <w:marRight w:val="0"/>
      <w:marTop w:val="0"/>
      <w:marBottom w:val="0"/>
      <w:divBdr>
        <w:top w:val="none" w:sz="0" w:space="0" w:color="auto"/>
        <w:left w:val="none" w:sz="0" w:space="0" w:color="auto"/>
        <w:bottom w:val="none" w:sz="0" w:space="0" w:color="auto"/>
        <w:right w:val="none" w:sz="0" w:space="0" w:color="auto"/>
      </w:divBdr>
    </w:div>
    <w:div w:id="1798989876">
      <w:bodyDiv w:val="1"/>
      <w:marLeft w:val="0"/>
      <w:marRight w:val="0"/>
      <w:marTop w:val="0"/>
      <w:marBottom w:val="0"/>
      <w:divBdr>
        <w:top w:val="none" w:sz="0" w:space="0" w:color="auto"/>
        <w:left w:val="none" w:sz="0" w:space="0" w:color="auto"/>
        <w:bottom w:val="none" w:sz="0" w:space="0" w:color="auto"/>
        <w:right w:val="none" w:sz="0" w:space="0" w:color="auto"/>
      </w:divBdr>
    </w:div>
    <w:div w:id="1894151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ERGO Design Sekundärfarben">
  <a:themeElements>
    <a:clrScheme name="ERGO Sekundärfarben">
      <a:dk1>
        <a:srgbClr val="404040"/>
      </a:dk1>
      <a:lt1>
        <a:srgbClr val="FFFFFF"/>
      </a:lt1>
      <a:dk2>
        <a:srgbClr val="404040"/>
      </a:dk2>
      <a:lt2>
        <a:srgbClr val="FFFFFF"/>
      </a:lt2>
      <a:accent1>
        <a:srgbClr val="892737"/>
      </a:accent1>
      <a:accent2>
        <a:srgbClr val="8F8983"/>
      </a:accent2>
      <a:accent3>
        <a:srgbClr val="8F8983"/>
      </a:accent3>
      <a:accent4>
        <a:srgbClr val="8F8983"/>
      </a:accent4>
      <a:accent5>
        <a:srgbClr val="8F8983"/>
      </a:accent5>
      <a:accent6>
        <a:srgbClr val="8F8983"/>
      </a:accent6>
      <a:hlink>
        <a:srgbClr val="892737"/>
      </a:hlink>
      <a:folHlink>
        <a:srgbClr val="892737"/>
      </a:folHlink>
    </a:clrScheme>
    <a:fontScheme name="ERGO Schriftdesig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GO Design Sekundärfarben" id="{1DA32219-19E8-4974-9571-80229DDB67C4}" vid="{03AA1B2B-D86B-4F37-8C61-B27395D167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729617-940b-463d-a580-46cc6a3ad9d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2FB147464C654DA52D28234157E078" ma:contentTypeVersion="14" ma:contentTypeDescription="Create a new document." ma:contentTypeScope="" ma:versionID="1a8e09a04d0a24176eefbd785c3654af">
  <xsd:schema xmlns:xsd="http://www.w3.org/2001/XMLSchema" xmlns:xs="http://www.w3.org/2001/XMLSchema" xmlns:p="http://schemas.microsoft.com/office/2006/metadata/properties" xmlns:ns3="ca729617-940b-463d-a580-46cc6a3ad9da" xmlns:ns4="def3a87b-6b62-403d-9a41-c1b0476c5a43" xmlns:ns5="8c3cb744-7aeb-4f41-aa1a-475906b218bf" targetNamespace="http://schemas.microsoft.com/office/2006/metadata/properties" ma:root="true" ma:fieldsID="01e5e0cd92704881e2f7f1932358ff85" ns3:_="" ns4:_="" ns5:_="">
    <xsd:import namespace="ca729617-940b-463d-a580-46cc6a3ad9da"/>
    <xsd:import namespace="def3a87b-6b62-403d-9a41-c1b0476c5a43"/>
    <xsd:import namespace="8c3cb744-7aeb-4f41-aa1a-475906b218bf"/>
    <xsd:element name="properties">
      <xsd:complexType>
        <xsd:sequence>
          <xsd:element name="documentManagement">
            <xsd:complexType>
              <xsd:all>
                <xsd:element ref="ns3:TaxCatchAll" minOccurs="0"/>
                <xsd:element ref="ns3:TaxCatchAllLabe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29617-940b-463d-a580-46cc6a3ad9d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92c0d03-d018-4159-8aad-f5acd5f82d1d}" ma:internalName="TaxCatchAll" ma:showField="CatchAllData" ma:web="8c3cb744-7aeb-4f41-aa1a-475906b218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92c0d03-d018-4159-8aad-f5acd5f82d1d}" ma:internalName="TaxCatchAllLabel" ma:readOnly="true" ma:showField="CatchAllDataLabel" ma:web="8c3cb744-7aeb-4f41-aa1a-475906b218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3a87b-6b62-403d-9a41-c1b0476c5a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cb744-7aeb-4f41-aa1a-475906b218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3c6f0c0-389c-4324-ac00-59fc67b57edf"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6D01A-FD05-42FE-8A54-173C707AE0F8}">
  <ds:schemaRefs>
    <ds:schemaRef ds:uri="http://schemas.microsoft.com/office/2006/metadata/properties"/>
    <ds:schemaRef ds:uri="http://schemas.microsoft.com/office/infopath/2007/PartnerControls"/>
    <ds:schemaRef ds:uri="ca729617-940b-463d-a580-46cc6a3ad9da"/>
  </ds:schemaRefs>
</ds:datastoreItem>
</file>

<file path=customXml/itemProps2.xml><?xml version="1.0" encoding="utf-8"?>
<ds:datastoreItem xmlns:ds="http://schemas.openxmlformats.org/officeDocument/2006/customXml" ds:itemID="{CFAEEF53-71F0-4DB5-A342-B7ADCF8BA702}">
  <ds:schemaRefs>
    <ds:schemaRef ds:uri="http://schemas.openxmlformats.org/officeDocument/2006/bibliography"/>
  </ds:schemaRefs>
</ds:datastoreItem>
</file>

<file path=customXml/itemProps3.xml><?xml version="1.0" encoding="utf-8"?>
<ds:datastoreItem xmlns:ds="http://schemas.openxmlformats.org/officeDocument/2006/customXml" ds:itemID="{67942F2F-5517-473C-89FD-A95D4F727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29617-940b-463d-a580-46cc6a3ad9da"/>
    <ds:schemaRef ds:uri="def3a87b-6b62-403d-9a41-c1b0476c5a43"/>
    <ds:schemaRef ds:uri="8c3cb744-7aeb-4f41-aa1a-475906b21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6707AF-AC9D-43A6-AF54-8EED518631BF}">
  <ds:schemaRefs>
    <ds:schemaRef ds:uri="Microsoft.SharePoint.Taxonomy.ContentTypeSync"/>
  </ds:schemaRefs>
</ds:datastoreItem>
</file>

<file path=customXml/itemProps5.xml><?xml version="1.0" encoding="utf-8"?>
<ds:datastoreItem xmlns:ds="http://schemas.openxmlformats.org/officeDocument/2006/customXml" ds:itemID="{3CB5FD0B-F20F-4C93-8A41-D93DC0831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4082</Words>
  <Characters>23678</Characters>
  <Application>Microsoft Office Word</Application>
  <DocSecurity>0</DocSecurity>
  <Lines>197</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ITERGO GmbH</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Tõlkebüroo</dc:creator>
  <cp:keywords/>
  <dc:description/>
  <cp:lastModifiedBy>Anne Tedder</cp:lastModifiedBy>
  <cp:revision>2</cp:revision>
  <cp:lastPrinted>2023-05-02T12:58:00Z</cp:lastPrinted>
  <dcterms:created xsi:type="dcterms:W3CDTF">2024-07-08T12:05:00Z</dcterms:created>
  <dcterms:modified xsi:type="dcterms:W3CDTF">2024-07-08T12:05:00Z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0x010100102FB147464C654DA52D28234157E078</vt:lpwstr>
  </property>
  <property fmtid="{D5CDD505-2E9C-101B-9397-08002B2CF9AE}" pid="3" name="_dlc_DocIdItemGuid">
    <vt:lpwstr>6388d45c-a08c-43d2-ae0c-9436da07fbed</vt:lpwstr>
  </property>
  <property fmtid="{D5CDD505-2E9C-101B-9397-08002B2CF9AE}" pid="4" name="TaxKeyword">
    <vt:lpwstr/>
  </property>
  <property fmtid="{D5CDD505-2E9C-101B-9397-08002B2CF9AE}" pid="5" name="EW_TaxDocumentType">
    <vt:lpwstr/>
  </property>
  <property fmtid="{D5CDD505-2E9C-101B-9397-08002B2CF9AE}" pid="6" name="EW_Taxonomy">
    <vt:lpwstr/>
  </property>
  <property fmtid="{D5CDD505-2E9C-101B-9397-08002B2CF9AE}" pid="7" name="MSIP_Label_b6812621-54a3-4807-a8e5-5110932761ab_Enabled">
    <vt:lpwstr>true</vt:lpwstr>
  </property>
  <property fmtid="{D5CDD505-2E9C-101B-9397-08002B2CF9AE}" pid="8" name="MSIP_Label_b6812621-54a3-4807-a8e5-5110932761ab_SetDate">
    <vt:lpwstr>2022-05-20T09:14:11Z</vt:lpwstr>
  </property>
  <property fmtid="{D5CDD505-2E9C-101B-9397-08002B2CF9AE}" pid="9" name="MSIP_Label_b6812621-54a3-4807-a8e5-5110932761ab_Method">
    <vt:lpwstr>Privileged</vt:lpwstr>
  </property>
  <property fmtid="{D5CDD505-2E9C-101B-9397-08002B2CF9AE}" pid="10" name="MSIP_Label_b6812621-54a3-4807-a8e5-5110932761ab_Name">
    <vt:lpwstr>b6812621-54a3-4807-a8e5-5110932761ab</vt:lpwstr>
  </property>
  <property fmtid="{D5CDD505-2E9C-101B-9397-08002B2CF9AE}" pid="11" name="MSIP_Label_b6812621-54a3-4807-a8e5-5110932761ab_SiteId">
    <vt:lpwstr>582259a1-dcaa-4cca-b1cf-e60d3f045ecd</vt:lpwstr>
  </property>
  <property fmtid="{D5CDD505-2E9C-101B-9397-08002B2CF9AE}" pid="12" name="MSIP_Label_b6812621-54a3-4807-a8e5-5110932761ab_ActionId">
    <vt:lpwstr>ddaeab7d-da76-4a4c-a357-f10074d322cb</vt:lpwstr>
  </property>
  <property fmtid="{D5CDD505-2E9C-101B-9397-08002B2CF9AE}" pid="13" name="MSIP_Label_b6812621-54a3-4807-a8e5-5110932761ab_ContentBits">
    <vt:lpwstr>0</vt:lpwstr>
  </property>
  <property fmtid="{D5CDD505-2E9C-101B-9397-08002B2CF9AE}" pid="14" name="MSIP_Label_8216c55b-98a9-4a56-8174-486c729da503_Enabled">
    <vt:lpwstr>true</vt:lpwstr>
  </property>
  <property fmtid="{D5CDD505-2E9C-101B-9397-08002B2CF9AE}" pid="15" name="MSIP_Label_8216c55b-98a9-4a56-8174-486c729da503_SetDate">
    <vt:lpwstr>2024-06-05T08:13:37Z</vt:lpwstr>
  </property>
  <property fmtid="{D5CDD505-2E9C-101B-9397-08002B2CF9AE}" pid="16" name="MSIP_Label_8216c55b-98a9-4a56-8174-486c729da503_Method">
    <vt:lpwstr>Standard</vt:lpwstr>
  </property>
  <property fmtid="{D5CDD505-2E9C-101B-9397-08002B2CF9AE}" pid="17" name="MSIP_Label_8216c55b-98a9-4a56-8174-486c729da503_Name">
    <vt:lpwstr>8216c55b-98a9-4a56-8174-486c729da503</vt:lpwstr>
  </property>
  <property fmtid="{D5CDD505-2E9C-101B-9397-08002B2CF9AE}" pid="18" name="MSIP_Label_8216c55b-98a9-4a56-8174-486c729da503_SiteId">
    <vt:lpwstr>a7f77151-e1e1-49d3-b6ac-261c0ef650f1</vt:lpwstr>
  </property>
  <property fmtid="{D5CDD505-2E9C-101B-9397-08002B2CF9AE}" pid="19" name="MSIP_Label_8216c55b-98a9-4a56-8174-486c729da503_ActionId">
    <vt:lpwstr>f8f2ef0e-24eb-45b7-8be3-df092b685650</vt:lpwstr>
  </property>
  <property fmtid="{D5CDD505-2E9C-101B-9397-08002B2CF9AE}" pid="20" name="MSIP_Label_8216c55b-98a9-4a56-8174-486c729da503_ContentBits">
    <vt:lpwstr>0</vt:lpwstr>
  </property>
</Properties>
</file>